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AF" w:rsidRPr="00DB24C9" w:rsidRDefault="001B13AF" w:rsidP="001B13AF">
      <w:pPr>
        <w:ind w:left="2552" w:right="2550"/>
        <w:jc w:val="both"/>
        <w:rPr>
          <w:rFonts w:ascii="Tahoma" w:hAnsi="Tahoma" w:cs="Tahoma"/>
          <w:i/>
          <w:sz w:val="20"/>
          <w:szCs w:val="20"/>
        </w:rPr>
      </w:pPr>
      <w:r w:rsidRPr="00DB24C9">
        <w:rPr>
          <w:rFonts w:ascii="Tahoma" w:hAnsi="Tahoma" w:cs="Tahoma"/>
          <w:b/>
          <w:i/>
          <w:sz w:val="20"/>
          <w:szCs w:val="20"/>
        </w:rPr>
        <w:t>Sumilla:</w:t>
      </w:r>
      <w:r w:rsidRPr="00DB24C9">
        <w:rPr>
          <w:rFonts w:ascii="Tahoma" w:hAnsi="Tahoma" w:cs="Tahoma"/>
          <w:i/>
          <w:sz w:val="20"/>
          <w:szCs w:val="20"/>
        </w:rPr>
        <w:t xml:space="preserve"> “</w:t>
      </w:r>
      <w:r w:rsidR="00B1083F" w:rsidRPr="00A51656">
        <w:rPr>
          <w:rFonts w:ascii="Arial" w:hAnsi="Arial" w:cs="Arial"/>
          <w:i/>
          <w:sz w:val="22"/>
          <w:szCs w:val="22"/>
        </w:rPr>
        <w:t>Es pasible de sanción el postor que no suscribe de manera injustificada el contrato, pese a haber resultado favorecido con la buena pro del proceso de selección</w:t>
      </w:r>
    </w:p>
    <w:p w:rsidR="001B13AF" w:rsidRPr="00DB24C9" w:rsidRDefault="001B13AF" w:rsidP="001B13AF">
      <w:pPr>
        <w:ind w:left="2268" w:right="1274"/>
        <w:jc w:val="both"/>
        <w:rPr>
          <w:rFonts w:ascii="Tahoma" w:hAnsi="Tahoma" w:cs="Tahoma"/>
          <w:i/>
          <w:sz w:val="20"/>
          <w:szCs w:val="20"/>
        </w:rPr>
      </w:pPr>
    </w:p>
    <w:p w:rsidR="001B13AF" w:rsidRPr="00DB24C9" w:rsidRDefault="001B13AF" w:rsidP="001B13AF">
      <w:pPr>
        <w:pStyle w:val="Textoindependiente3"/>
        <w:spacing w:after="0"/>
        <w:ind w:left="5387"/>
        <w:jc w:val="both"/>
        <w:rPr>
          <w:rFonts w:ascii="Tahoma" w:hAnsi="Tahoma" w:cs="Tahoma"/>
          <w:b/>
          <w:sz w:val="20"/>
          <w:szCs w:val="20"/>
        </w:rPr>
      </w:pPr>
      <w:r w:rsidRPr="00DB24C9">
        <w:rPr>
          <w:rFonts w:ascii="Tahoma" w:hAnsi="Tahoma" w:cs="Tahoma"/>
          <w:b/>
          <w:sz w:val="20"/>
          <w:szCs w:val="20"/>
        </w:rPr>
        <w:t>Lima,</w:t>
      </w:r>
      <w:r w:rsidR="00171A5F">
        <w:rPr>
          <w:rFonts w:ascii="Tahoma" w:hAnsi="Tahoma" w:cs="Tahoma"/>
          <w:b/>
          <w:sz w:val="20"/>
          <w:szCs w:val="20"/>
        </w:rPr>
        <w:t xml:space="preserve"> 22 de Agosto de 2011</w:t>
      </w:r>
    </w:p>
    <w:p w:rsidR="001B13AF" w:rsidRPr="00DB24C9" w:rsidRDefault="001B13AF" w:rsidP="001B13AF">
      <w:pPr>
        <w:pStyle w:val="Textoindependiente3"/>
        <w:spacing w:after="0"/>
        <w:ind w:left="5387"/>
        <w:jc w:val="both"/>
        <w:rPr>
          <w:rFonts w:ascii="Tahoma" w:hAnsi="Tahoma" w:cs="Tahoma"/>
          <w:b/>
          <w:sz w:val="20"/>
          <w:szCs w:val="20"/>
        </w:rPr>
      </w:pPr>
    </w:p>
    <w:p w:rsidR="001B13AF" w:rsidRPr="00DB24C9" w:rsidRDefault="001B13AF" w:rsidP="001B13AF">
      <w:pPr>
        <w:ind w:left="567"/>
        <w:contextualSpacing/>
        <w:jc w:val="both"/>
        <w:rPr>
          <w:rFonts w:ascii="Tahoma" w:hAnsi="Tahoma" w:cs="Tahoma"/>
          <w:sz w:val="20"/>
          <w:szCs w:val="20"/>
        </w:rPr>
      </w:pPr>
      <w:r w:rsidRPr="00DB24C9">
        <w:rPr>
          <w:rFonts w:ascii="Tahoma" w:hAnsi="Tahoma" w:cs="Tahoma"/>
          <w:b/>
          <w:sz w:val="20"/>
          <w:szCs w:val="20"/>
        </w:rPr>
        <w:t xml:space="preserve">Visto </w:t>
      </w:r>
      <w:r w:rsidRPr="00DB24C9">
        <w:rPr>
          <w:rFonts w:ascii="Tahoma" w:hAnsi="Tahoma" w:cs="Tahoma"/>
          <w:sz w:val="20"/>
          <w:szCs w:val="20"/>
        </w:rPr>
        <w:t>en sesión de fecha 22 de agosto de 2011 la Primera Sala del Tribunal de Contrataciones del Estado el Expediente N° 1289-2010-TC; sobre el procedimiento administrativo sancionador iniciado contra la empresa Corporación Nuevo Mundo SAC,</w:t>
      </w:r>
      <w:r w:rsidRPr="00DB24C9">
        <w:rPr>
          <w:rFonts w:ascii="Tahoma" w:hAnsi="Tahoma" w:cs="Tahoma"/>
          <w:color w:val="000000" w:themeColor="text1"/>
          <w:sz w:val="20"/>
          <w:szCs w:val="20"/>
          <w:lang w:val="es-MX"/>
        </w:rPr>
        <w:t xml:space="preserve"> por no haber suscrito contrato en virtud del proceso</w:t>
      </w:r>
      <w:r w:rsidRPr="00DB24C9">
        <w:rPr>
          <w:rFonts w:ascii="Tahoma" w:hAnsi="Tahoma" w:cs="Tahoma"/>
          <w:sz w:val="20"/>
          <w:szCs w:val="20"/>
        </w:rPr>
        <w:t xml:space="preserve"> por Competencia Menor Nº CME-0065-2010-OFP/PETROPERU y en atención a los siguientes:</w:t>
      </w:r>
    </w:p>
    <w:p w:rsidR="001B13AF" w:rsidRPr="00DB24C9" w:rsidRDefault="001B13AF" w:rsidP="001B13AF">
      <w:pPr>
        <w:ind w:firstLine="567"/>
        <w:contextualSpacing/>
        <w:jc w:val="both"/>
        <w:rPr>
          <w:rFonts w:ascii="Tahoma" w:hAnsi="Tahoma" w:cs="Tahoma"/>
          <w:b/>
          <w:sz w:val="20"/>
          <w:szCs w:val="20"/>
          <w:lang w:val="es-ES_tradnl"/>
        </w:rPr>
      </w:pPr>
    </w:p>
    <w:p w:rsidR="001B13AF" w:rsidRPr="00DB24C9" w:rsidRDefault="001B13AF" w:rsidP="001B13AF">
      <w:pPr>
        <w:pStyle w:val="Prrafodelista"/>
        <w:ind w:left="567"/>
        <w:rPr>
          <w:rFonts w:ascii="Tahoma" w:hAnsi="Tahoma" w:cs="Tahoma"/>
          <w:b/>
          <w:sz w:val="20"/>
        </w:rPr>
      </w:pPr>
      <w:r w:rsidRPr="00DB24C9">
        <w:rPr>
          <w:rFonts w:ascii="Tahoma" w:hAnsi="Tahoma" w:cs="Tahoma"/>
          <w:b/>
          <w:sz w:val="20"/>
        </w:rPr>
        <w:t>ANTECEDENTES:</w:t>
      </w:r>
    </w:p>
    <w:p w:rsidR="001B13AF" w:rsidRPr="00DB24C9" w:rsidRDefault="001B13AF" w:rsidP="001B13AF">
      <w:pPr>
        <w:jc w:val="both"/>
        <w:rPr>
          <w:rFonts w:ascii="Tahoma" w:hAnsi="Tahoma" w:cs="Tahoma"/>
          <w:b/>
          <w:sz w:val="20"/>
          <w:szCs w:val="20"/>
          <w:lang w:eastAsia="es-PE"/>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 xml:space="preserve">El 20 de setiembre de 2010, Petróleos del Perú, en lo sucesivo, la Entidad, remitió a este Tribunal de Contrataciones del Estado, en adelante, el Tribunal, el Oficio Nº GLOG-UA-2588-2010, poniendo en conocimiento que la empresa Corporación Nuevo Mundo SAC, en adelante, el Postor, habría incurrido en causal de sanción, al no haber suscrito el contrato del proceso por Competencia Menor Nº CME-0065-2010-OFP/PETROPERU, el que tuvo como objeto la “Adquisición de baldosas acústicas para falso cielo raso”. </w:t>
      </w:r>
    </w:p>
    <w:p w:rsidR="00357612" w:rsidRPr="00DB24C9" w:rsidRDefault="00357612" w:rsidP="00357612">
      <w:pPr>
        <w:pStyle w:val="Prrafodelista"/>
        <w:ind w:left="567"/>
        <w:contextualSpacing/>
        <w:jc w:val="both"/>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decreto de fecha 23 de setiembre de 2010, la Secretaría del Tribunal solicitó previamente a la Entidad, que en el plazo de diez (10) días hábiles, cumpla con remitir copia legible de la Carta debidamente recibida y/o diligenciada, a través de la cual citó a la empresa Corporación Nuevo Mundo SAC para la suscripción del Contrato o, de ser el caso, remitir copia del documento mediante el cual la referida empresa autorizó la notificación vía correo electrónico.</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La Entidad adjuntó a su Carta Nº GLOG-UA-2588-2010 del 20 de setiembre, mencionado precedentemente, el Informe Técnico Nº GLOG-UA-2429-2010,  a través del cual señaló que con fecha 09 de junio de 2010 se otorgó la Buena Pro al Postor por el monto de S/. 48,000.00 (Cuarenta y ocho mil con 00/100 nuevos soles), la misma que queda consentida el 15.06.2010 al no presentarse recurso impugnativo a dicho acto administrativo.</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El 10 de junio de 2010 el Postor solicita a la Entidad mediante Carta S/N se le retire el otorgamiento de la buena pro del proceso en los siguientes términos:</w:t>
      </w:r>
    </w:p>
    <w:p w:rsidR="00357612" w:rsidRPr="00DB24C9" w:rsidRDefault="00357612" w:rsidP="00357612">
      <w:pPr>
        <w:pStyle w:val="Prrafodelista"/>
        <w:rPr>
          <w:rFonts w:ascii="Tahoma" w:hAnsi="Tahoma" w:cs="Tahoma"/>
          <w:i/>
          <w:sz w:val="20"/>
        </w:rPr>
      </w:pPr>
    </w:p>
    <w:p w:rsidR="00357612" w:rsidRPr="00DB24C9" w:rsidRDefault="00357612" w:rsidP="00357612">
      <w:pPr>
        <w:pStyle w:val="Prrafodelista"/>
        <w:ind w:left="567"/>
        <w:contextualSpacing/>
        <w:jc w:val="both"/>
        <w:rPr>
          <w:rFonts w:ascii="Tahoma" w:hAnsi="Tahoma" w:cs="Tahoma"/>
          <w:sz w:val="20"/>
        </w:rPr>
      </w:pPr>
      <w:r w:rsidRPr="00DB24C9">
        <w:rPr>
          <w:rFonts w:ascii="Tahoma" w:hAnsi="Tahoma" w:cs="Tahoma"/>
          <w:i/>
          <w:sz w:val="20"/>
        </w:rPr>
        <w:t>“La presente tiene por finalidad saludarlo muy cordialmente y al mismo tiempo comunicarle lo siguiente:</w:t>
      </w:r>
    </w:p>
    <w:p w:rsidR="00357612" w:rsidRPr="00DB24C9" w:rsidRDefault="00357612" w:rsidP="00357612">
      <w:pPr>
        <w:pStyle w:val="Prrafodelista"/>
        <w:ind w:left="567"/>
        <w:contextualSpacing/>
        <w:jc w:val="both"/>
        <w:rPr>
          <w:rFonts w:ascii="Tahoma" w:hAnsi="Tahoma" w:cs="Tahoma"/>
          <w:i/>
          <w:sz w:val="20"/>
        </w:rPr>
      </w:pPr>
      <w:r w:rsidRPr="00DB24C9">
        <w:rPr>
          <w:rFonts w:ascii="Tahoma" w:hAnsi="Tahoma" w:cs="Tahoma"/>
          <w:i/>
          <w:sz w:val="20"/>
        </w:rPr>
        <w:t>Que mi representada solicita a usted que se nos retire la Buena Pro ya que hubo un error garrafal, ya que el importador que nos distribuye, al darnos el precio, se ha equivocado, ya que me dio soles, y era dólares, lo que nuestro costo se incrementa.</w:t>
      </w:r>
    </w:p>
    <w:p w:rsidR="00357612" w:rsidRPr="00DB24C9" w:rsidRDefault="00357612" w:rsidP="00357612">
      <w:pPr>
        <w:pStyle w:val="Prrafodelista"/>
        <w:ind w:left="567"/>
        <w:contextualSpacing/>
        <w:jc w:val="both"/>
        <w:rPr>
          <w:rFonts w:ascii="Tahoma" w:hAnsi="Tahoma" w:cs="Tahoma"/>
          <w:i/>
          <w:sz w:val="20"/>
        </w:rPr>
      </w:pPr>
      <w:r w:rsidRPr="00DB24C9">
        <w:rPr>
          <w:rFonts w:ascii="Tahoma" w:hAnsi="Tahoma" w:cs="Tahoma"/>
          <w:i/>
          <w:sz w:val="20"/>
        </w:rPr>
        <w:t>Como comprenderá, son razones que escapan a nuestra responsabilidad, ya que nosotros confiamos en los precios de nuestros proveedores, nosotros como empresa nunca hemos tenido un problema así por lo que le invoco que nos retire la buena pro y se la otorgue al que quedo en segundo lugar.</w:t>
      </w:r>
    </w:p>
    <w:p w:rsidR="00357612" w:rsidRPr="00DB24C9" w:rsidRDefault="00357612" w:rsidP="00357612">
      <w:pPr>
        <w:pStyle w:val="Prrafodelista"/>
        <w:ind w:left="567"/>
        <w:contextualSpacing/>
        <w:jc w:val="both"/>
        <w:rPr>
          <w:rFonts w:ascii="Tahoma" w:hAnsi="Tahoma" w:cs="Tahoma"/>
          <w:sz w:val="20"/>
        </w:rPr>
      </w:pPr>
      <w:r w:rsidRPr="00DB24C9">
        <w:rPr>
          <w:rFonts w:ascii="Tahoma" w:hAnsi="Tahoma" w:cs="Tahoma"/>
          <w:i/>
          <w:sz w:val="20"/>
        </w:rPr>
        <w:lastRenderedPageBreak/>
        <w:t>Sin otro particular, le reiteramos nuestra solicitud y asimismo, aprovecho para expresarle los sentimientos de mi estima personal.</w:t>
      </w:r>
    </w:p>
    <w:p w:rsidR="00357612" w:rsidRPr="00DB24C9" w:rsidRDefault="00357612" w:rsidP="00357612">
      <w:pPr>
        <w:pStyle w:val="Prrafodelista"/>
        <w:ind w:left="567"/>
        <w:contextualSpacing/>
        <w:jc w:val="both"/>
        <w:rPr>
          <w:rFonts w:ascii="Tahoma" w:hAnsi="Tahoma" w:cs="Tahoma"/>
          <w:i/>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En vista de ello, la Entidad remite al Postor la Carta Nº GLOG-UA-1671-2010, con fecha 14 de junio de 2010, a través de la cual indica que su solicitud no está contemplada en el Reglamento de Contrataciones de Petroperú, y en consecuencia no pueden retirar su propuesta e invoca realizar sus mayores esfuerzos, a fin de cumplir con el compromiso asumido.</w:t>
      </w:r>
    </w:p>
    <w:p w:rsidR="00357612" w:rsidRPr="00DB24C9" w:rsidRDefault="00357612" w:rsidP="00357612">
      <w:pPr>
        <w:pStyle w:val="Prrafodelista"/>
        <w:ind w:left="567"/>
        <w:contextualSpacing/>
        <w:jc w:val="both"/>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El 16 de junio de 2010, mediante Carta Nº GOLG-UA-1706-2010, consentida la Buena Pro, la Entidad solicita al Postor entregue la Constancia de No Encontrarse Inhabilitado para Contratar con el Estado, otorgándole un plazo de tres (03) días a fin de entregar dicho documento e iniciar las gestiones para formalizar la Orden de Compra.</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El 21 de junio de 2010, el Postor comunica a Petroperú mediante Carta S/N lo siguiente:</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ind w:left="567"/>
        <w:contextualSpacing/>
        <w:jc w:val="both"/>
        <w:rPr>
          <w:rFonts w:ascii="Tahoma" w:hAnsi="Tahoma" w:cs="Tahoma"/>
          <w:i/>
          <w:sz w:val="20"/>
        </w:rPr>
      </w:pPr>
      <w:r w:rsidRPr="00DB24C9">
        <w:rPr>
          <w:rFonts w:ascii="Tahoma" w:hAnsi="Tahoma" w:cs="Tahoma"/>
          <w:i/>
          <w:sz w:val="20"/>
        </w:rPr>
        <w:t>“La presente tiene por finalidad saludarlo muy cordialmente y al mismo tiempo comunicarle lo siguiente:</w:t>
      </w:r>
    </w:p>
    <w:p w:rsidR="00357612" w:rsidRPr="00DB24C9" w:rsidRDefault="00357612" w:rsidP="00357612">
      <w:pPr>
        <w:pStyle w:val="Prrafodelista"/>
        <w:ind w:left="567"/>
        <w:contextualSpacing/>
        <w:jc w:val="both"/>
        <w:rPr>
          <w:rFonts w:ascii="Tahoma" w:hAnsi="Tahoma" w:cs="Tahoma"/>
          <w:i/>
          <w:sz w:val="20"/>
        </w:rPr>
      </w:pPr>
      <w:r w:rsidRPr="00DB24C9">
        <w:rPr>
          <w:rFonts w:ascii="Tahoma" w:hAnsi="Tahoma" w:cs="Tahoma"/>
          <w:i/>
          <w:sz w:val="20"/>
        </w:rPr>
        <w:t>Que mi representada no entregará los documentos que nos solicita porque en la carta anterior del 10/06/2010, solicitamos la anulación de la Buena Pro, pero por motivos de reglamento no se puede realizar.</w:t>
      </w:r>
    </w:p>
    <w:p w:rsidR="00357612" w:rsidRPr="00DB24C9" w:rsidRDefault="00357612" w:rsidP="00357612">
      <w:pPr>
        <w:pStyle w:val="Prrafodelista"/>
        <w:ind w:left="567"/>
        <w:contextualSpacing/>
        <w:jc w:val="both"/>
        <w:rPr>
          <w:rFonts w:ascii="Tahoma" w:hAnsi="Tahoma" w:cs="Tahoma"/>
          <w:i/>
          <w:sz w:val="20"/>
        </w:rPr>
      </w:pPr>
      <w:r w:rsidRPr="00DB24C9">
        <w:rPr>
          <w:rFonts w:ascii="Tahoma" w:hAnsi="Tahoma" w:cs="Tahoma"/>
          <w:i/>
          <w:sz w:val="20"/>
        </w:rPr>
        <w:t>Como comprenderán, no podemos atenderlo ya que hubo un error en los precios que no es culpa de nuestra empresa, si no de nuestra proveedora por el cual adjuntamos la carta de ellos corroborando la veracidad de nuestros argumentos.</w:t>
      </w:r>
    </w:p>
    <w:p w:rsidR="00357612" w:rsidRPr="00DB24C9" w:rsidRDefault="00357612" w:rsidP="00357612">
      <w:pPr>
        <w:pStyle w:val="Prrafodelista"/>
        <w:ind w:left="567"/>
        <w:contextualSpacing/>
        <w:jc w:val="both"/>
        <w:rPr>
          <w:rFonts w:ascii="Tahoma" w:hAnsi="Tahoma" w:cs="Tahoma"/>
          <w:i/>
          <w:sz w:val="20"/>
        </w:rPr>
      </w:pPr>
      <w:r w:rsidRPr="00DB24C9">
        <w:rPr>
          <w:rFonts w:ascii="Tahoma" w:hAnsi="Tahoma" w:cs="Tahoma"/>
          <w:i/>
          <w:sz w:val="20"/>
        </w:rPr>
        <w:t>Sin otro particular, le reiteramos nuestra solicitud y asimismo, aprovecho la oportunidad para expresarle los sentimientos de mi estima personal.”</w:t>
      </w:r>
    </w:p>
    <w:p w:rsidR="00357612" w:rsidRPr="00DB24C9" w:rsidRDefault="00357612" w:rsidP="00357612">
      <w:pPr>
        <w:contextualSpacing/>
        <w:jc w:val="both"/>
        <w:rPr>
          <w:rFonts w:ascii="Tahoma" w:hAnsi="Tahoma" w:cs="Tahoma"/>
          <w:sz w:val="20"/>
          <w:szCs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Con fecha 23 de junio de 2010, mediante Carta Nº GLOG-UA-1781-2010, la Entidad comunica al Postor que al haber incumplido con presentar la “Constancia de No encontrarse Inhabilitado para Contratar con el Estado” ha perdido la buena pro, al haber vencido el plazo para cumplir con dicha entrega documentaria.</w:t>
      </w:r>
    </w:p>
    <w:p w:rsidR="00357612" w:rsidRPr="00DB24C9" w:rsidRDefault="00357612" w:rsidP="00357612">
      <w:pPr>
        <w:pStyle w:val="Prrafodelista"/>
        <w:ind w:left="567"/>
        <w:contextualSpacing/>
        <w:jc w:val="both"/>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Carta S/N de fecha 16 de diciembre de 2010, el Postor, remitió a este Tribunal la información requerida por la Secretaría, adjuntando la Carta GLOG-1706-2010 de fecha 16 de junio de 2010, a través del cual se requirió al Postor la Constancia de no estar Inhabilitado para Contratar con el Estado, dándole un plazo de tres (3) días hábiles para que cumpla dicha solicitud. Sin embargo, no informo respecto de la autorización de recibirla vía correo electrónico o fax.</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decreto de fecha 21 de diciembre de 2010 se inició procedimiento administrativo sancionador contra la empresa Corporación Nuevo Mundo SAC, por su presunta responsabilidad, al no haber suscrito el contrato injustificadamente, derivado del proceso de Competencia Menor Nº CME-0065-2010-OFP/PETROPERU, el cual tuvo como objeto la “Adquisición de baldosas acústicas para falso cielo raso.”</w:t>
      </w:r>
    </w:p>
    <w:p w:rsidR="00357612" w:rsidRPr="00DB24C9" w:rsidRDefault="00357612" w:rsidP="00357612">
      <w:pPr>
        <w:contextualSpacing/>
        <w:jc w:val="both"/>
        <w:rPr>
          <w:rFonts w:ascii="Tahoma" w:hAnsi="Tahoma" w:cs="Tahoma"/>
          <w:sz w:val="20"/>
          <w:szCs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El 27 de enero de 2011, el Postor presentó sus descargos señalando lo siguiente:</w:t>
      </w:r>
    </w:p>
    <w:p w:rsidR="00357612" w:rsidRPr="00DB24C9" w:rsidRDefault="00357612" w:rsidP="00357612">
      <w:pPr>
        <w:contextualSpacing/>
        <w:jc w:val="both"/>
        <w:rPr>
          <w:rFonts w:ascii="Tahoma" w:hAnsi="Tahoma" w:cs="Tahoma"/>
          <w:sz w:val="20"/>
          <w:szCs w:val="20"/>
        </w:rPr>
      </w:pPr>
    </w:p>
    <w:p w:rsidR="00357612" w:rsidRPr="00DB24C9" w:rsidRDefault="00357612" w:rsidP="00357612">
      <w:pPr>
        <w:pStyle w:val="Prrafodelista"/>
        <w:widowControl/>
        <w:numPr>
          <w:ilvl w:val="0"/>
          <w:numId w:val="5"/>
        </w:numPr>
        <w:suppressAutoHyphens w:val="0"/>
        <w:contextualSpacing/>
        <w:jc w:val="both"/>
        <w:rPr>
          <w:rFonts w:ascii="Tahoma" w:hAnsi="Tahoma" w:cs="Tahoma"/>
          <w:sz w:val="20"/>
        </w:rPr>
      </w:pPr>
      <w:r w:rsidRPr="00DB24C9">
        <w:rPr>
          <w:rFonts w:ascii="Tahoma" w:hAnsi="Tahoma" w:cs="Tahoma"/>
          <w:sz w:val="20"/>
        </w:rPr>
        <w:t>El valor referencial del proceso de Competencia Menor Nº 065-2010/OFP/PETROPERU, era reservado.</w:t>
      </w:r>
    </w:p>
    <w:p w:rsidR="00357612" w:rsidRPr="00DB24C9" w:rsidRDefault="00357612" w:rsidP="00357612">
      <w:pPr>
        <w:pStyle w:val="Prrafodelista"/>
        <w:ind w:left="1002"/>
        <w:contextualSpacing/>
        <w:jc w:val="both"/>
        <w:rPr>
          <w:rFonts w:ascii="Tahoma" w:hAnsi="Tahoma" w:cs="Tahoma"/>
          <w:sz w:val="20"/>
        </w:rPr>
      </w:pPr>
    </w:p>
    <w:p w:rsidR="00357612" w:rsidRPr="00DB24C9" w:rsidRDefault="00357612" w:rsidP="00357612">
      <w:pPr>
        <w:pStyle w:val="Prrafodelista"/>
        <w:widowControl/>
        <w:numPr>
          <w:ilvl w:val="0"/>
          <w:numId w:val="5"/>
        </w:numPr>
        <w:suppressAutoHyphens w:val="0"/>
        <w:contextualSpacing/>
        <w:jc w:val="both"/>
        <w:rPr>
          <w:rFonts w:ascii="Tahoma" w:hAnsi="Tahoma" w:cs="Tahoma"/>
          <w:sz w:val="20"/>
        </w:rPr>
      </w:pPr>
      <w:r w:rsidRPr="00DB24C9">
        <w:rPr>
          <w:rFonts w:ascii="Tahoma" w:hAnsi="Tahoma" w:cs="Tahoma"/>
          <w:sz w:val="20"/>
        </w:rPr>
        <w:lastRenderedPageBreak/>
        <w:t>Con fecha 01 de junio de 2010, vía correo electrónico, su distribuidor DRYWALLTEC SAC, alcanza los precios del producto requerido según el siguiente detalle:</w:t>
      </w:r>
    </w:p>
    <w:p w:rsidR="00357612" w:rsidRPr="00DB24C9" w:rsidRDefault="00357612" w:rsidP="00357612">
      <w:pPr>
        <w:pStyle w:val="Prrafodelista"/>
        <w:ind w:left="1002"/>
        <w:contextualSpacing/>
        <w:jc w:val="both"/>
        <w:rPr>
          <w:rFonts w:ascii="Tahoma" w:hAnsi="Tahoma" w:cs="Tahoma"/>
          <w:sz w:val="20"/>
        </w:rPr>
      </w:pPr>
    </w:p>
    <w:tbl>
      <w:tblPr>
        <w:tblStyle w:val="Tablaconcuadrcula"/>
        <w:tblW w:w="0" w:type="auto"/>
        <w:tblInd w:w="1101" w:type="dxa"/>
        <w:tblLook w:val="04A0"/>
      </w:tblPr>
      <w:tblGrid>
        <w:gridCol w:w="3543"/>
        <w:gridCol w:w="1701"/>
        <w:gridCol w:w="2375"/>
      </w:tblGrid>
      <w:tr w:rsidR="00357612" w:rsidRPr="00DB24C9" w:rsidTr="00496E66">
        <w:tc>
          <w:tcPr>
            <w:tcW w:w="3543" w:type="dxa"/>
          </w:tcPr>
          <w:p w:rsidR="00357612" w:rsidRPr="00DB24C9" w:rsidRDefault="00357612" w:rsidP="00496E66">
            <w:pPr>
              <w:pStyle w:val="Prrafodelista"/>
              <w:ind w:left="0"/>
              <w:contextualSpacing/>
              <w:jc w:val="center"/>
              <w:rPr>
                <w:rFonts w:ascii="Tahoma" w:hAnsi="Tahoma" w:cs="Tahoma"/>
                <w:sz w:val="20"/>
              </w:rPr>
            </w:pPr>
            <w:r w:rsidRPr="00DB24C9">
              <w:rPr>
                <w:rFonts w:ascii="Tahoma" w:hAnsi="Tahoma" w:cs="Tahoma"/>
                <w:sz w:val="20"/>
              </w:rPr>
              <w:t>PRODUCTO</w:t>
            </w:r>
          </w:p>
        </w:tc>
        <w:tc>
          <w:tcPr>
            <w:tcW w:w="1701" w:type="dxa"/>
          </w:tcPr>
          <w:p w:rsidR="00357612" w:rsidRPr="00DB24C9" w:rsidRDefault="00357612" w:rsidP="00496E66">
            <w:pPr>
              <w:pStyle w:val="Prrafodelista"/>
              <w:ind w:left="0"/>
              <w:contextualSpacing/>
              <w:jc w:val="center"/>
              <w:rPr>
                <w:rFonts w:ascii="Tahoma" w:hAnsi="Tahoma" w:cs="Tahoma"/>
                <w:sz w:val="20"/>
              </w:rPr>
            </w:pPr>
            <w:r w:rsidRPr="00DB24C9">
              <w:rPr>
                <w:rFonts w:ascii="Tahoma" w:hAnsi="Tahoma" w:cs="Tahoma"/>
                <w:sz w:val="20"/>
              </w:rPr>
              <w:t>CANTIDAD</w:t>
            </w:r>
          </w:p>
        </w:tc>
        <w:tc>
          <w:tcPr>
            <w:tcW w:w="2375" w:type="dxa"/>
          </w:tcPr>
          <w:p w:rsidR="00357612" w:rsidRPr="00DB24C9" w:rsidRDefault="00357612" w:rsidP="00496E66">
            <w:pPr>
              <w:pStyle w:val="Prrafodelista"/>
              <w:ind w:left="0"/>
              <w:contextualSpacing/>
              <w:jc w:val="center"/>
              <w:rPr>
                <w:rFonts w:ascii="Tahoma" w:hAnsi="Tahoma" w:cs="Tahoma"/>
                <w:sz w:val="20"/>
              </w:rPr>
            </w:pPr>
            <w:r w:rsidRPr="00DB24C9">
              <w:rPr>
                <w:rFonts w:ascii="Tahoma" w:hAnsi="Tahoma" w:cs="Tahoma"/>
                <w:sz w:val="20"/>
              </w:rPr>
              <w:t>IMPORTE</w:t>
            </w:r>
          </w:p>
        </w:tc>
      </w:tr>
      <w:tr w:rsidR="00357612" w:rsidRPr="00DB24C9" w:rsidTr="00496E66">
        <w:tc>
          <w:tcPr>
            <w:tcW w:w="3543" w:type="dxa"/>
          </w:tcPr>
          <w:p w:rsidR="00357612" w:rsidRPr="00DB24C9" w:rsidRDefault="00357612" w:rsidP="00496E66">
            <w:pPr>
              <w:pStyle w:val="Prrafodelista"/>
              <w:ind w:left="0"/>
              <w:contextualSpacing/>
              <w:jc w:val="both"/>
              <w:rPr>
                <w:rFonts w:ascii="Tahoma" w:hAnsi="Tahoma" w:cs="Tahoma"/>
                <w:sz w:val="20"/>
                <w:lang w:val="en-US"/>
              </w:rPr>
            </w:pPr>
            <w:r w:rsidRPr="00DB24C9">
              <w:rPr>
                <w:rFonts w:ascii="Tahoma" w:hAnsi="Tahoma" w:cs="Tahoma"/>
                <w:sz w:val="20"/>
                <w:lang w:val="en-US"/>
              </w:rPr>
              <w:t>Baldosa Fine Fissured 2X4X5/8 BR</w:t>
            </w:r>
          </w:p>
        </w:tc>
        <w:tc>
          <w:tcPr>
            <w:tcW w:w="1701" w:type="dxa"/>
          </w:tcPr>
          <w:p w:rsidR="00357612" w:rsidRPr="00DB24C9" w:rsidRDefault="00357612" w:rsidP="00496E66">
            <w:pPr>
              <w:pStyle w:val="Prrafodelista"/>
              <w:ind w:left="0"/>
              <w:contextualSpacing/>
              <w:jc w:val="both"/>
              <w:rPr>
                <w:rFonts w:ascii="Tahoma" w:hAnsi="Tahoma" w:cs="Tahoma"/>
                <w:sz w:val="20"/>
                <w:lang w:val="en-US"/>
              </w:rPr>
            </w:pPr>
            <w:r w:rsidRPr="00DB24C9">
              <w:rPr>
                <w:rFonts w:ascii="Tahoma" w:hAnsi="Tahoma" w:cs="Tahoma"/>
                <w:sz w:val="20"/>
                <w:lang w:val="en-US"/>
              </w:rPr>
              <w:t>1</w:t>
            </w:r>
          </w:p>
        </w:tc>
        <w:tc>
          <w:tcPr>
            <w:tcW w:w="2375" w:type="dxa"/>
          </w:tcPr>
          <w:p w:rsidR="00357612" w:rsidRPr="00DB24C9" w:rsidRDefault="00357612" w:rsidP="00496E66">
            <w:pPr>
              <w:pStyle w:val="Prrafodelista"/>
              <w:ind w:left="0"/>
              <w:contextualSpacing/>
              <w:jc w:val="both"/>
              <w:rPr>
                <w:rFonts w:ascii="Tahoma" w:hAnsi="Tahoma" w:cs="Tahoma"/>
                <w:sz w:val="20"/>
                <w:lang w:val="en-US"/>
              </w:rPr>
            </w:pPr>
            <w:r w:rsidRPr="00DB24C9">
              <w:rPr>
                <w:rFonts w:ascii="Tahoma" w:hAnsi="Tahoma" w:cs="Tahoma"/>
                <w:sz w:val="20"/>
                <w:lang w:val="en-US"/>
              </w:rPr>
              <w:t>S/. 11.5839+IGV</w:t>
            </w:r>
          </w:p>
        </w:tc>
      </w:tr>
      <w:tr w:rsidR="00357612" w:rsidRPr="00DB24C9" w:rsidTr="00496E66">
        <w:tc>
          <w:tcPr>
            <w:tcW w:w="3543" w:type="dxa"/>
          </w:tcPr>
          <w:p w:rsidR="00357612" w:rsidRPr="00DB24C9" w:rsidRDefault="00357612" w:rsidP="00496E66">
            <w:pPr>
              <w:pStyle w:val="Prrafodelista"/>
              <w:ind w:left="0"/>
              <w:contextualSpacing/>
              <w:jc w:val="both"/>
              <w:rPr>
                <w:rFonts w:ascii="Tahoma" w:hAnsi="Tahoma" w:cs="Tahoma"/>
                <w:sz w:val="20"/>
              </w:rPr>
            </w:pPr>
            <w:r w:rsidRPr="00DB24C9">
              <w:rPr>
                <w:rFonts w:ascii="Tahoma" w:hAnsi="Tahoma" w:cs="Tahoma"/>
                <w:sz w:val="20"/>
              </w:rPr>
              <w:t>Baldosa Sand Micro 2X4X5/8 BR</w:t>
            </w:r>
          </w:p>
        </w:tc>
        <w:tc>
          <w:tcPr>
            <w:tcW w:w="1701" w:type="dxa"/>
          </w:tcPr>
          <w:p w:rsidR="00357612" w:rsidRPr="00DB24C9" w:rsidRDefault="00357612" w:rsidP="00496E66">
            <w:pPr>
              <w:pStyle w:val="Prrafodelista"/>
              <w:ind w:left="0"/>
              <w:contextualSpacing/>
              <w:jc w:val="both"/>
              <w:rPr>
                <w:rFonts w:ascii="Tahoma" w:hAnsi="Tahoma" w:cs="Tahoma"/>
                <w:sz w:val="20"/>
              </w:rPr>
            </w:pPr>
            <w:r w:rsidRPr="00DB24C9">
              <w:rPr>
                <w:rFonts w:ascii="Tahoma" w:hAnsi="Tahoma" w:cs="Tahoma"/>
                <w:sz w:val="20"/>
              </w:rPr>
              <w:t>1</w:t>
            </w:r>
          </w:p>
        </w:tc>
        <w:tc>
          <w:tcPr>
            <w:tcW w:w="2375" w:type="dxa"/>
          </w:tcPr>
          <w:p w:rsidR="00357612" w:rsidRPr="00DB24C9" w:rsidRDefault="00357612" w:rsidP="00496E66">
            <w:pPr>
              <w:pStyle w:val="Prrafodelista"/>
              <w:ind w:left="0"/>
              <w:contextualSpacing/>
              <w:jc w:val="both"/>
              <w:rPr>
                <w:rFonts w:ascii="Tahoma" w:hAnsi="Tahoma" w:cs="Tahoma"/>
                <w:b/>
                <w:sz w:val="20"/>
              </w:rPr>
            </w:pPr>
            <w:r w:rsidRPr="00DB24C9">
              <w:rPr>
                <w:rFonts w:ascii="Tahoma" w:hAnsi="Tahoma" w:cs="Tahoma"/>
                <w:b/>
                <w:sz w:val="20"/>
              </w:rPr>
              <w:t>S/. 7649+IGV</w:t>
            </w:r>
          </w:p>
        </w:tc>
      </w:tr>
    </w:tbl>
    <w:p w:rsidR="00357612" w:rsidRPr="00DB24C9" w:rsidRDefault="00357612" w:rsidP="00357612">
      <w:pPr>
        <w:pStyle w:val="Prrafodelista"/>
        <w:ind w:left="1002"/>
        <w:contextualSpacing/>
        <w:jc w:val="both"/>
        <w:rPr>
          <w:rFonts w:ascii="Tahoma" w:hAnsi="Tahoma" w:cs="Tahoma"/>
          <w:b/>
          <w:sz w:val="20"/>
        </w:rPr>
      </w:pPr>
    </w:p>
    <w:p w:rsidR="00357612" w:rsidRPr="00DB24C9" w:rsidRDefault="00357612" w:rsidP="00357612">
      <w:pPr>
        <w:pStyle w:val="Prrafodelista"/>
        <w:widowControl/>
        <w:numPr>
          <w:ilvl w:val="0"/>
          <w:numId w:val="5"/>
        </w:numPr>
        <w:suppressAutoHyphens w:val="0"/>
        <w:contextualSpacing/>
        <w:jc w:val="both"/>
        <w:rPr>
          <w:rFonts w:ascii="Tahoma" w:hAnsi="Tahoma" w:cs="Tahoma"/>
          <w:sz w:val="20"/>
        </w:rPr>
      </w:pPr>
      <w:r w:rsidRPr="00DB24C9">
        <w:rPr>
          <w:rFonts w:ascii="Tahoma" w:hAnsi="Tahoma" w:cs="Tahoma"/>
          <w:sz w:val="20"/>
        </w:rPr>
        <w:t xml:space="preserve">Con fecha 07 de junio de 2010, presentaron su Propuesta Económica por un monto total de S/.48 000.00 para una cantidad total de 4000 baldosas marca Sand Micro. </w:t>
      </w:r>
    </w:p>
    <w:p w:rsidR="00357612" w:rsidRPr="00DB24C9" w:rsidRDefault="00357612" w:rsidP="00357612">
      <w:pPr>
        <w:pStyle w:val="Prrafodelista"/>
        <w:ind w:left="1002"/>
        <w:contextualSpacing/>
        <w:jc w:val="both"/>
        <w:rPr>
          <w:rFonts w:ascii="Tahoma" w:hAnsi="Tahoma" w:cs="Tahoma"/>
          <w:sz w:val="20"/>
        </w:rPr>
      </w:pPr>
    </w:p>
    <w:p w:rsidR="00357612" w:rsidRPr="00DB24C9" w:rsidRDefault="00357612" w:rsidP="00357612">
      <w:pPr>
        <w:pStyle w:val="Prrafodelista"/>
        <w:widowControl/>
        <w:numPr>
          <w:ilvl w:val="0"/>
          <w:numId w:val="5"/>
        </w:numPr>
        <w:suppressAutoHyphens w:val="0"/>
        <w:contextualSpacing/>
        <w:jc w:val="both"/>
        <w:rPr>
          <w:rFonts w:ascii="Tahoma" w:hAnsi="Tahoma" w:cs="Tahoma"/>
          <w:sz w:val="20"/>
        </w:rPr>
      </w:pPr>
      <w:r w:rsidRPr="00DB24C9">
        <w:rPr>
          <w:rFonts w:ascii="Tahoma" w:hAnsi="Tahoma" w:cs="Tahoma"/>
          <w:sz w:val="20"/>
        </w:rPr>
        <w:t>Con fecha 09 de junio de 2010 la Entidad le notificó el otorgamiento de la Buena Pro a su favor.</w:t>
      </w:r>
    </w:p>
    <w:p w:rsidR="00357612" w:rsidRPr="00DB24C9" w:rsidRDefault="00357612" w:rsidP="00357612">
      <w:pPr>
        <w:pStyle w:val="Prrafodelista"/>
        <w:ind w:left="1002"/>
        <w:contextualSpacing/>
        <w:jc w:val="both"/>
        <w:rPr>
          <w:rFonts w:ascii="Tahoma" w:hAnsi="Tahoma" w:cs="Tahoma"/>
          <w:sz w:val="20"/>
        </w:rPr>
      </w:pPr>
    </w:p>
    <w:p w:rsidR="00357612" w:rsidRPr="00DB24C9" w:rsidRDefault="00357612" w:rsidP="00357612">
      <w:pPr>
        <w:pStyle w:val="Prrafodelista"/>
        <w:widowControl/>
        <w:numPr>
          <w:ilvl w:val="0"/>
          <w:numId w:val="5"/>
        </w:numPr>
        <w:suppressAutoHyphens w:val="0"/>
        <w:contextualSpacing/>
        <w:jc w:val="both"/>
        <w:rPr>
          <w:rFonts w:ascii="Tahoma" w:hAnsi="Tahoma" w:cs="Tahoma"/>
          <w:sz w:val="20"/>
        </w:rPr>
      </w:pPr>
      <w:r w:rsidRPr="00DB24C9">
        <w:rPr>
          <w:rFonts w:ascii="Tahoma" w:hAnsi="Tahoma" w:cs="Tahoma"/>
          <w:sz w:val="20"/>
        </w:rPr>
        <w:t>Mediante Carta del 10 de junio de 2010, su distribuidor DRYWALLTEC le manifiesta lo siguiente:</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ind w:left="1002"/>
        <w:contextualSpacing/>
        <w:jc w:val="both"/>
        <w:rPr>
          <w:rFonts w:ascii="Tahoma" w:hAnsi="Tahoma" w:cs="Tahoma"/>
          <w:i/>
          <w:sz w:val="20"/>
        </w:rPr>
      </w:pPr>
      <w:r w:rsidRPr="00DB24C9">
        <w:rPr>
          <w:rFonts w:ascii="Tahoma" w:hAnsi="Tahoma" w:cs="Tahoma"/>
          <w:i/>
          <w:sz w:val="20"/>
        </w:rPr>
        <w:t xml:space="preserve">“Por la presente reciban un cordial saludo de DRYWALLTEC, y a su vez presentarles las disculpas del caso, por el error involuntario que se presentó por motivos de querer brindarles un servicio rápido, se brindó el precio equivocado de lo que solicitaron cotizar, Baldosa Sand Micro 2X4X5/8 BR  </w:t>
      </w:r>
      <w:r w:rsidRPr="00DB24C9">
        <w:rPr>
          <w:rFonts w:ascii="Tahoma" w:hAnsi="Tahoma" w:cs="Tahoma"/>
          <w:b/>
          <w:i/>
          <w:sz w:val="20"/>
        </w:rPr>
        <w:t>S/.7.649 soles</w:t>
      </w:r>
      <w:r w:rsidRPr="00DB24C9">
        <w:rPr>
          <w:rFonts w:ascii="Tahoma" w:hAnsi="Tahoma" w:cs="Tahoma"/>
          <w:i/>
          <w:sz w:val="20"/>
        </w:rPr>
        <w:t xml:space="preserve"> + IGV cuando debió ser </w:t>
      </w:r>
      <w:r w:rsidRPr="00DB24C9">
        <w:rPr>
          <w:rFonts w:ascii="Tahoma" w:hAnsi="Tahoma" w:cs="Tahoma"/>
          <w:b/>
          <w:i/>
          <w:sz w:val="20"/>
        </w:rPr>
        <w:t>$ 7.649 dólares</w:t>
      </w:r>
      <w:r w:rsidRPr="00DB24C9">
        <w:rPr>
          <w:rFonts w:ascii="Tahoma" w:hAnsi="Tahoma" w:cs="Tahoma"/>
          <w:i/>
          <w:sz w:val="20"/>
        </w:rPr>
        <w:t xml:space="preserve"> + IGV.</w:t>
      </w:r>
    </w:p>
    <w:p w:rsidR="00357612" w:rsidRPr="00DB24C9" w:rsidRDefault="00357612" w:rsidP="00357612">
      <w:pPr>
        <w:pStyle w:val="Prrafodelista"/>
        <w:ind w:left="1002"/>
        <w:contextualSpacing/>
        <w:jc w:val="both"/>
        <w:rPr>
          <w:rFonts w:ascii="Tahoma" w:hAnsi="Tahoma" w:cs="Tahoma"/>
          <w:i/>
          <w:sz w:val="20"/>
        </w:rPr>
      </w:pPr>
      <w:r w:rsidRPr="00DB24C9">
        <w:rPr>
          <w:rFonts w:ascii="Tahoma" w:hAnsi="Tahoma" w:cs="Tahoma"/>
          <w:i/>
          <w:sz w:val="20"/>
        </w:rPr>
        <w:t>Esperando sepan comprender este involuntario error.</w:t>
      </w:r>
    </w:p>
    <w:p w:rsidR="00357612" w:rsidRPr="00DB24C9" w:rsidRDefault="00357612" w:rsidP="00357612">
      <w:pPr>
        <w:pStyle w:val="Prrafodelista"/>
        <w:ind w:left="1002"/>
        <w:contextualSpacing/>
        <w:jc w:val="both"/>
        <w:rPr>
          <w:rFonts w:ascii="Tahoma" w:hAnsi="Tahoma" w:cs="Tahoma"/>
          <w:i/>
          <w:sz w:val="20"/>
        </w:rPr>
      </w:pPr>
      <w:r w:rsidRPr="00DB24C9">
        <w:rPr>
          <w:rFonts w:ascii="Tahoma" w:hAnsi="Tahoma" w:cs="Tahoma"/>
          <w:i/>
          <w:sz w:val="20"/>
        </w:rPr>
        <w:t>Agradecidos se sirvan dispensar a la presente, estaremos a vuestro servicio.”</w:t>
      </w:r>
    </w:p>
    <w:p w:rsidR="00357612" w:rsidRPr="00DB24C9" w:rsidRDefault="00357612" w:rsidP="00357612">
      <w:pPr>
        <w:contextualSpacing/>
        <w:jc w:val="both"/>
        <w:rPr>
          <w:rFonts w:ascii="Tahoma" w:hAnsi="Tahoma" w:cs="Tahoma"/>
          <w:sz w:val="20"/>
          <w:szCs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decreto del 31 de enero de 2011, la Secretaría del Tribunal tuvo por apersonada a la empresa Corporación Nuevo Mundo SAC y se remitió el expediente a la Primera Sala del Tribunal.</w:t>
      </w:r>
    </w:p>
    <w:p w:rsidR="00357612" w:rsidRPr="00DB24C9" w:rsidRDefault="00357612" w:rsidP="00357612">
      <w:pPr>
        <w:pStyle w:val="Prrafodelista"/>
        <w:widowControl/>
        <w:suppressAutoHyphens w:val="0"/>
        <w:ind w:left="567"/>
        <w:contextualSpacing/>
        <w:jc w:val="both"/>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Resolución Nº 810-2011-TC-S1 de fecha 12 de mayo de 2011, la Primera Sala del Tribunal resolvió declarar no ha lugar la imposición de sanción administrativa contra la empresa Corporación Nuevo Mundo SAC, por la comisión de la infracción prevista en el literal a) del numeral 51.1 del artículo 51 de la Ley en concordancia con el literal a) del numeral 1 del artículo 237 del Reglamento.</w:t>
      </w:r>
    </w:p>
    <w:p w:rsidR="00357612" w:rsidRPr="00DB24C9" w:rsidRDefault="00357612" w:rsidP="00357612">
      <w:pPr>
        <w:pStyle w:val="Prrafodelista"/>
        <w:widowControl/>
        <w:suppressAutoHyphens w:val="0"/>
        <w:ind w:left="567"/>
        <w:contextualSpacing/>
        <w:jc w:val="both"/>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escrito S/N de fecha 22 de julio de 2011, la Entidad solicitó a este Tribunal corrección de errores en Resolución.</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Mediante escrito S/N de fecha 11 de agosto de 2011, la Entidad solicitó a este Tribunal la Nulidad de Oficio de la Resolución 810-2011-TC-S1.</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4"/>
        </w:numPr>
        <w:suppressAutoHyphens w:val="0"/>
        <w:ind w:left="567" w:hanging="567"/>
        <w:contextualSpacing/>
        <w:jc w:val="both"/>
        <w:rPr>
          <w:rFonts w:ascii="Tahoma" w:hAnsi="Tahoma" w:cs="Tahoma"/>
          <w:sz w:val="20"/>
        </w:rPr>
      </w:pPr>
      <w:r w:rsidRPr="00DB24C9">
        <w:rPr>
          <w:rFonts w:ascii="Tahoma" w:hAnsi="Tahoma" w:cs="Tahoma"/>
          <w:sz w:val="20"/>
        </w:rPr>
        <w:t>A través de decreto de fecha 16 de agosto de 2011, la Secretaria remitió el expediente a la Primera Sala del Tribunal, a fin que emitiese el pronunciamiento correspondiente.</w:t>
      </w:r>
    </w:p>
    <w:p w:rsidR="00357612" w:rsidRPr="00DB24C9" w:rsidRDefault="00357612" w:rsidP="00357612">
      <w:pPr>
        <w:contextualSpacing/>
        <w:jc w:val="both"/>
        <w:rPr>
          <w:rFonts w:ascii="Tahoma" w:hAnsi="Tahoma" w:cs="Tahoma"/>
          <w:b/>
          <w:sz w:val="20"/>
          <w:szCs w:val="20"/>
        </w:rPr>
      </w:pPr>
    </w:p>
    <w:p w:rsidR="00357612" w:rsidRPr="00DB24C9" w:rsidRDefault="00357612" w:rsidP="00357612">
      <w:pPr>
        <w:contextualSpacing/>
        <w:jc w:val="both"/>
        <w:rPr>
          <w:rFonts w:ascii="Tahoma" w:hAnsi="Tahoma" w:cs="Tahoma"/>
          <w:b/>
          <w:sz w:val="20"/>
          <w:szCs w:val="20"/>
        </w:rPr>
      </w:pPr>
      <w:r w:rsidRPr="00DB24C9">
        <w:rPr>
          <w:rFonts w:ascii="Tahoma" w:hAnsi="Tahoma" w:cs="Tahoma"/>
          <w:b/>
          <w:sz w:val="20"/>
          <w:szCs w:val="20"/>
        </w:rPr>
        <w:t>ANALISIS</w:t>
      </w:r>
    </w:p>
    <w:p w:rsidR="00357612" w:rsidRPr="00DB24C9" w:rsidRDefault="00357612" w:rsidP="00357612">
      <w:pPr>
        <w:rPr>
          <w:sz w:val="20"/>
          <w:szCs w:val="20"/>
          <w:lang w:val="es-ES_tradnl"/>
        </w:rPr>
      </w:pPr>
    </w:p>
    <w:p w:rsidR="00357612" w:rsidRPr="00DB24C9" w:rsidRDefault="00357612" w:rsidP="00357612">
      <w:pPr>
        <w:numPr>
          <w:ilvl w:val="2"/>
          <w:numId w:val="6"/>
        </w:numPr>
        <w:tabs>
          <w:tab w:val="num" w:pos="567"/>
        </w:tabs>
        <w:ind w:left="567" w:hanging="567"/>
        <w:jc w:val="both"/>
        <w:rPr>
          <w:rFonts w:ascii="Tahoma" w:hAnsi="Tahoma" w:cs="Tahoma"/>
          <w:sz w:val="20"/>
          <w:szCs w:val="20"/>
        </w:rPr>
      </w:pPr>
      <w:r w:rsidRPr="00DB24C9">
        <w:rPr>
          <w:rFonts w:ascii="Tahoma" w:hAnsi="Tahoma" w:cs="Tahoma"/>
          <w:sz w:val="20"/>
          <w:szCs w:val="20"/>
        </w:rPr>
        <w:t xml:space="preserve">Es materia del presente análisis la solicitud de nulidad de oficio planteada por la Entidad, PETROPERU, contra lo resuelto en la Resolución Nº 810-2011-TC-S1 de fecha 12 de mayo de 2011, mediante la cual la Primera Sala del Tribunal declarar no ha lugar la imposición de sanción administrativa contra la empresa Corporación Nuevo Mundo SAC, por no haber suscrito el respectivo contrato con la Entidad de manera injustificada,  </w:t>
      </w:r>
      <w:r w:rsidRPr="00DB24C9">
        <w:rPr>
          <w:rFonts w:ascii="Tahoma" w:hAnsi="Tahoma" w:cs="Tahoma"/>
          <w:sz w:val="20"/>
          <w:szCs w:val="20"/>
        </w:rPr>
        <w:lastRenderedPageBreak/>
        <w:t>infracción prevista en el literal a) del numeral 51.1 del artículo 51 de la Ley en concordancia con el literal a) del numeral 1 del artículo 237 del Reglamento.</w:t>
      </w:r>
    </w:p>
    <w:p w:rsidR="00357612" w:rsidRPr="00DB24C9" w:rsidRDefault="00357612" w:rsidP="00357612">
      <w:pPr>
        <w:ind w:left="567"/>
        <w:jc w:val="both"/>
        <w:rPr>
          <w:rFonts w:ascii="Tahoma" w:hAnsi="Tahoma" w:cs="Tahoma"/>
          <w:sz w:val="20"/>
          <w:szCs w:val="20"/>
        </w:rPr>
      </w:pPr>
    </w:p>
    <w:p w:rsidR="00357612" w:rsidRPr="00DB24C9" w:rsidRDefault="00357612" w:rsidP="00357612">
      <w:pPr>
        <w:numPr>
          <w:ilvl w:val="2"/>
          <w:numId w:val="6"/>
        </w:numPr>
        <w:tabs>
          <w:tab w:val="num" w:pos="567"/>
        </w:tabs>
        <w:ind w:left="567" w:hanging="567"/>
        <w:jc w:val="both"/>
        <w:rPr>
          <w:rFonts w:ascii="Tahoma" w:hAnsi="Tahoma" w:cs="Tahoma"/>
          <w:i/>
          <w:sz w:val="20"/>
          <w:szCs w:val="20"/>
        </w:rPr>
      </w:pPr>
      <w:r w:rsidRPr="00DB24C9">
        <w:rPr>
          <w:rFonts w:ascii="Tahoma" w:hAnsi="Tahoma" w:cs="Tahoma"/>
          <w:sz w:val="20"/>
          <w:szCs w:val="20"/>
        </w:rPr>
        <w:t xml:space="preserve">En relación a lo expuesto, es menester indicar que el artículo 202.5 de la Ley Nº 27444, Ley del Procedimiento Administrativo General, establece que </w:t>
      </w:r>
      <w:r w:rsidRPr="00DB24C9">
        <w:rPr>
          <w:rFonts w:ascii="Tahoma" w:hAnsi="Tahoma" w:cs="Tahoma"/>
          <w:i/>
          <w:sz w:val="20"/>
          <w:szCs w:val="20"/>
        </w:rPr>
        <w:t>“</w:t>
      </w:r>
      <w:r w:rsidRPr="00DB24C9">
        <w:rPr>
          <w:rFonts w:ascii="Tahoma" w:hAnsi="Tahoma" w:cs="Tahoma"/>
          <w:i/>
          <w:sz w:val="20"/>
          <w:szCs w:val="20"/>
          <w:u w:val="single"/>
        </w:rPr>
        <w:t xml:space="preserve">Los actos administrativos emitidos por consejos o tribunales regidos por leyes especiales, competentes para resolver controversias en última instancia administrativa, </w:t>
      </w:r>
      <w:r w:rsidRPr="00DB24C9">
        <w:rPr>
          <w:rFonts w:ascii="Tahoma" w:hAnsi="Tahoma" w:cs="Tahoma"/>
          <w:b/>
          <w:i/>
          <w:sz w:val="20"/>
          <w:szCs w:val="20"/>
          <w:u w:val="single"/>
        </w:rPr>
        <w:t>sólo pueden ser objeto de declaración de nulidad de oficio</w:t>
      </w:r>
      <w:r w:rsidRPr="00DB24C9">
        <w:rPr>
          <w:rFonts w:ascii="Tahoma" w:hAnsi="Tahoma" w:cs="Tahoma"/>
          <w:i/>
          <w:sz w:val="20"/>
          <w:szCs w:val="20"/>
          <w:u w:val="single"/>
        </w:rPr>
        <w:t xml:space="preserve"> en sede administrativa por el propio consejo o tribunal con el acuerdo unánime de sus miembros</w:t>
      </w:r>
      <w:r w:rsidRPr="00DB24C9">
        <w:rPr>
          <w:rFonts w:ascii="Tahoma" w:hAnsi="Tahoma" w:cs="Tahoma"/>
          <w:i/>
          <w:sz w:val="20"/>
          <w:szCs w:val="20"/>
        </w:rPr>
        <w:t>. Esta atribución sólo podrá ejercerse dentro del plazo de un año contado desde la fecha en que el acto es notificado al interesado. También procede que el titular de la Entidad demande su nulidad en la vía de proceso contencioso administrativo, siempre que la demanda se interponga dentro de los tres años siguientes de notificada la resolución emitida por el consejo o tribunal”.</w:t>
      </w:r>
    </w:p>
    <w:p w:rsidR="00357612" w:rsidRPr="00DB24C9" w:rsidRDefault="00357612" w:rsidP="00357612">
      <w:pPr>
        <w:jc w:val="both"/>
        <w:rPr>
          <w:rFonts w:ascii="Tahoma" w:hAnsi="Tahoma" w:cs="Tahoma"/>
          <w:i/>
          <w:sz w:val="20"/>
          <w:szCs w:val="20"/>
        </w:rPr>
      </w:pPr>
    </w:p>
    <w:p w:rsidR="00357612" w:rsidRPr="00DB24C9" w:rsidRDefault="00357612" w:rsidP="00357612">
      <w:pPr>
        <w:numPr>
          <w:ilvl w:val="2"/>
          <w:numId w:val="6"/>
        </w:numPr>
        <w:tabs>
          <w:tab w:val="num" w:pos="567"/>
        </w:tabs>
        <w:ind w:left="567" w:hanging="567"/>
        <w:jc w:val="both"/>
        <w:rPr>
          <w:rFonts w:ascii="Tahoma" w:hAnsi="Tahoma" w:cs="Tahoma"/>
          <w:i/>
          <w:sz w:val="20"/>
          <w:szCs w:val="20"/>
        </w:rPr>
      </w:pPr>
      <w:r w:rsidRPr="00DB24C9">
        <w:rPr>
          <w:rFonts w:ascii="Tahoma" w:hAnsi="Tahoma" w:cs="Tahoma"/>
          <w:sz w:val="20"/>
          <w:szCs w:val="20"/>
        </w:rPr>
        <w:t xml:space="preserve">En concordancia con lo anterior, el artículo 11.1 del mismo cuerpo normativo expresa que </w:t>
      </w:r>
      <w:r w:rsidRPr="00DB24C9">
        <w:rPr>
          <w:rFonts w:ascii="Tahoma" w:hAnsi="Tahoma" w:cs="Tahoma"/>
          <w:i/>
          <w:sz w:val="20"/>
          <w:szCs w:val="20"/>
        </w:rPr>
        <w:t>“</w:t>
      </w:r>
      <w:r w:rsidRPr="00DB24C9">
        <w:rPr>
          <w:rFonts w:ascii="Tahoma" w:hAnsi="Tahoma" w:cs="Tahoma"/>
          <w:b/>
          <w:i/>
          <w:sz w:val="20"/>
          <w:szCs w:val="20"/>
        </w:rPr>
        <w:t>Los administrados plantean la nulidad de los actos administrativos</w:t>
      </w:r>
      <w:r w:rsidRPr="00DB24C9">
        <w:rPr>
          <w:rFonts w:ascii="Tahoma" w:hAnsi="Tahoma" w:cs="Tahoma"/>
          <w:i/>
          <w:sz w:val="20"/>
          <w:szCs w:val="20"/>
        </w:rPr>
        <w:t xml:space="preserve"> que les conciernan por </w:t>
      </w:r>
      <w:r w:rsidRPr="00DB24C9">
        <w:rPr>
          <w:rFonts w:ascii="Tahoma" w:hAnsi="Tahoma" w:cs="Tahoma"/>
          <w:b/>
          <w:i/>
          <w:sz w:val="20"/>
          <w:szCs w:val="20"/>
          <w:u w:val="single"/>
        </w:rPr>
        <w:t>medio de los recursos administrativos previstos en el Título III Capítulo II de la presente Ley</w:t>
      </w:r>
      <w:r w:rsidRPr="00DB24C9">
        <w:rPr>
          <w:rFonts w:ascii="Tahoma" w:hAnsi="Tahoma" w:cs="Tahoma"/>
          <w:i/>
          <w:sz w:val="20"/>
          <w:szCs w:val="20"/>
        </w:rPr>
        <w:t>”.</w:t>
      </w:r>
    </w:p>
    <w:p w:rsidR="00357612" w:rsidRPr="00DB24C9" w:rsidRDefault="00357612" w:rsidP="00357612">
      <w:pPr>
        <w:jc w:val="both"/>
        <w:rPr>
          <w:rFonts w:ascii="Tahoma" w:hAnsi="Tahoma" w:cs="Tahoma"/>
          <w:i/>
          <w:sz w:val="20"/>
          <w:szCs w:val="20"/>
        </w:rPr>
      </w:pPr>
    </w:p>
    <w:p w:rsidR="00357612" w:rsidRPr="00DB24C9" w:rsidRDefault="00357612" w:rsidP="00357612">
      <w:pPr>
        <w:numPr>
          <w:ilvl w:val="2"/>
          <w:numId w:val="6"/>
        </w:numPr>
        <w:tabs>
          <w:tab w:val="num" w:pos="567"/>
        </w:tabs>
        <w:ind w:left="567" w:hanging="567"/>
        <w:jc w:val="both"/>
        <w:rPr>
          <w:rFonts w:ascii="Tahoma" w:hAnsi="Tahoma" w:cs="Tahoma"/>
          <w:i/>
          <w:sz w:val="20"/>
          <w:szCs w:val="20"/>
        </w:rPr>
      </w:pPr>
      <w:r w:rsidRPr="00DB24C9">
        <w:rPr>
          <w:rFonts w:ascii="Tahoma" w:hAnsi="Tahoma" w:cs="Tahoma"/>
          <w:sz w:val="20"/>
          <w:szCs w:val="20"/>
        </w:rPr>
        <w:t>Así tenemos que los recursos administrativos previstos en el Título III Capítulo II de la Ley Nº 27444 son:</w:t>
      </w:r>
    </w:p>
    <w:p w:rsidR="00357612" w:rsidRPr="00DB24C9" w:rsidRDefault="00357612" w:rsidP="00357612">
      <w:pPr>
        <w:jc w:val="both"/>
        <w:rPr>
          <w:rFonts w:ascii="Tahoma" w:hAnsi="Tahoma" w:cs="Tahoma"/>
          <w:sz w:val="20"/>
          <w:szCs w:val="20"/>
        </w:rPr>
      </w:pPr>
    </w:p>
    <w:p w:rsidR="00357612" w:rsidRPr="00DB24C9" w:rsidRDefault="00357612" w:rsidP="00357612">
      <w:pPr>
        <w:pStyle w:val="Prrafodelista"/>
        <w:widowControl/>
        <w:numPr>
          <w:ilvl w:val="3"/>
          <w:numId w:val="6"/>
        </w:numPr>
        <w:suppressAutoHyphens w:val="0"/>
        <w:spacing w:after="200"/>
        <w:ind w:left="851" w:hanging="284"/>
        <w:contextualSpacing/>
        <w:jc w:val="both"/>
        <w:rPr>
          <w:rFonts w:ascii="Tahoma" w:hAnsi="Tahoma" w:cs="Tahoma"/>
          <w:sz w:val="20"/>
        </w:rPr>
      </w:pPr>
      <w:r w:rsidRPr="00DB24C9">
        <w:rPr>
          <w:rFonts w:ascii="Tahoma" w:hAnsi="Tahoma" w:cs="Tahoma"/>
          <w:sz w:val="20"/>
        </w:rPr>
        <w:t>Recurso de reconsideración.</w:t>
      </w:r>
    </w:p>
    <w:p w:rsidR="00357612" w:rsidRPr="00DB24C9" w:rsidRDefault="00357612" w:rsidP="00357612">
      <w:pPr>
        <w:pStyle w:val="Prrafodelista"/>
        <w:widowControl/>
        <w:numPr>
          <w:ilvl w:val="3"/>
          <w:numId w:val="6"/>
        </w:numPr>
        <w:suppressAutoHyphens w:val="0"/>
        <w:spacing w:after="200"/>
        <w:ind w:left="851" w:hanging="284"/>
        <w:contextualSpacing/>
        <w:jc w:val="both"/>
        <w:rPr>
          <w:rFonts w:ascii="Tahoma" w:hAnsi="Tahoma" w:cs="Tahoma"/>
          <w:sz w:val="20"/>
        </w:rPr>
      </w:pPr>
      <w:r w:rsidRPr="00DB24C9">
        <w:rPr>
          <w:rFonts w:ascii="Tahoma" w:hAnsi="Tahoma" w:cs="Tahoma"/>
          <w:sz w:val="20"/>
        </w:rPr>
        <w:t>Recurso de apelación.</w:t>
      </w:r>
    </w:p>
    <w:p w:rsidR="00357612" w:rsidRPr="00DB24C9" w:rsidRDefault="00357612" w:rsidP="00357612">
      <w:pPr>
        <w:pStyle w:val="Prrafodelista"/>
        <w:widowControl/>
        <w:numPr>
          <w:ilvl w:val="3"/>
          <w:numId w:val="6"/>
        </w:numPr>
        <w:suppressAutoHyphens w:val="0"/>
        <w:spacing w:after="200"/>
        <w:ind w:left="851" w:hanging="284"/>
        <w:contextualSpacing/>
        <w:jc w:val="both"/>
        <w:rPr>
          <w:rFonts w:ascii="Tahoma" w:hAnsi="Tahoma" w:cs="Tahoma"/>
          <w:sz w:val="20"/>
        </w:rPr>
      </w:pPr>
      <w:r w:rsidRPr="00DB24C9">
        <w:rPr>
          <w:rFonts w:ascii="Tahoma" w:hAnsi="Tahoma" w:cs="Tahoma"/>
          <w:sz w:val="20"/>
        </w:rPr>
        <w:t>Recurso de revisión.</w:t>
      </w:r>
    </w:p>
    <w:p w:rsidR="00357612" w:rsidRPr="00DB24C9" w:rsidRDefault="00357612" w:rsidP="00357612">
      <w:pPr>
        <w:pStyle w:val="Prrafodelista"/>
        <w:ind w:left="851"/>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En ese orden de ideas, resulta válido colegir que legalmente no existe en el ordenamiento jurídico peruano la posibilidad de plantear una solicitud, pedido o recurso de nulidad de una resolución del Tribunal de Contrataciones, porque en la ley de contrataciones estatales solo se encuentra previsto el recurso de reconsideración contra lo resuelto por el Tribunal en un procedimiento sancionador, es decir, que las solicitudes de nulidad formuladas por los interesados al amparo de los artículos 10 y 11 de la Ley Nº 27444, solo pueden ser planteadas en el procedimiento administrativo sancionador con el recurso de reconsideración ante el Tribunal de Contrataciones del Estado.</w:t>
      </w:r>
    </w:p>
    <w:p w:rsidR="00357612" w:rsidRPr="00DB24C9" w:rsidRDefault="00357612" w:rsidP="00357612">
      <w:pPr>
        <w:pStyle w:val="Prrafodelista"/>
        <w:ind w:left="567"/>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Asimismo, cabe indicar que atendiendo a la ubicación y desarrollo de la normativa sobre la nulidad de oficio y desarrollo de la normativa sobre nulidad de oficio de los actos administrativos (Título III – De la Revisión de los Actos en Vía Administrativa) en la Ley Nº 27444, se aprecia que el Capítulo I lleva por nombre: Revisión de Oficio comprendiéndose en este la rectificación de errores, la nulidad de oficio y la revocación. </w:t>
      </w:r>
    </w:p>
    <w:p w:rsidR="00357612" w:rsidRPr="00DB24C9" w:rsidRDefault="00357612" w:rsidP="00357612">
      <w:pPr>
        <w:pStyle w:val="Prrafodelista"/>
        <w:ind w:left="567"/>
        <w:rPr>
          <w:rFonts w:ascii="Tahoma" w:hAnsi="Tahoma" w:cs="Tahoma"/>
          <w:sz w:val="20"/>
        </w:rPr>
      </w:pPr>
    </w:p>
    <w:p w:rsidR="00357612" w:rsidRPr="00DB24C9" w:rsidRDefault="00357612" w:rsidP="00357612">
      <w:pPr>
        <w:pStyle w:val="Prrafodelista"/>
        <w:ind w:left="567"/>
        <w:jc w:val="both"/>
        <w:rPr>
          <w:rFonts w:ascii="Tahoma" w:hAnsi="Tahoma" w:cs="Tahoma"/>
          <w:sz w:val="20"/>
        </w:rPr>
      </w:pPr>
      <w:r w:rsidRPr="00DB24C9">
        <w:rPr>
          <w:rFonts w:ascii="Tahoma" w:hAnsi="Tahoma" w:cs="Tahoma"/>
          <w:sz w:val="20"/>
        </w:rPr>
        <w:t xml:space="preserve">Conforme, se puede apreciar solo en el numeral relativo a la rectificación de errores se establece que los mismos pueden rectificarse de oficio o a instancia de los administrados, en cambio en los numerales concernientes a la nulidad de oficio no se indica que la misma pueda efectuarse a instancia de los administrados, excluyendo la posibilidad de que la nulidad de las resoluciones de los tribunales administrativos pueda ser efectuada a pedido de parte. Máxime si la ley ha señalado el cauce a seguir para solicitar la nulidad de los actos administrativos, siendo estos por medio de los recursos administrativos previstos en el artículo 207 de la Ley Nº 27444 o impugnar las resoluciones emitidas por los tribunales administrativos que agotan la vía administrativa, de conformidad con lo </w:t>
      </w:r>
      <w:r w:rsidRPr="00DB24C9">
        <w:rPr>
          <w:rFonts w:ascii="Tahoma" w:hAnsi="Tahoma" w:cs="Tahoma"/>
          <w:sz w:val="20"/>
        </w:rPr>
        <w:lastRenderedPageBreak/>
        <w:t>dispuesto en el artículo 218 de la Ley Nº 27444. Sin soslayar la facultad del propio Tribunal Administrativo de declarar de oficio la nulidad de la resolución en ejercicio de la facultad conferida en el artículo 202.5 de la Ley Nº 27444.</w:t>
      </w:r>
    </w:p>
    <w:p w:rsidR="00357612" w:rsidRPr="00DB24C9" w:rsidRDefault="00357612" w:rsidP="00357612">
      <w:pPr>
        <w:pStyle w:val="Prrafodelista"/>
        <w:ind w:left="567"/>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En consecuencia, este Colegiado considera que corresponde declarar improcedente la solicitud de nulidad de la Resolución Nº 810-2011-TC-S1 de fecha 12 de mayo de 2011</w:t>
      </w:r>
      <w:r w:rsidRPr="00DB24C9">
        <w:rPr>
          <w:rStyle w:val="Refdenotaalpie"/>
          <w:rFonts w:ascii="Tahoma" w:hAnsi="Tahoma" w:cs="Tahoma"/>
          <w:sz w:val="20"/>
        </w:rPr>
        <w:footnoteReference w:id="2"/>
      </w:r>
      <w:r w:rsidRPr="00DB24C9">
        <w:rPr>
          <w:rFonts w:ascii="Tahoma" w:hAnsi="Tahoma" w:cs="Tahoma"/>
          <w:sz w:val="20"/>
        </w:rPr>
        <w:t>.</w:t>
      </w:r>
    </w:p>
    <w:p w:rsidR="00357612" w:rsidRPr="00DB24C9" w:rsidRDefault="00357612" w:rsidP="00357612">
      <w:pPr>
        <w:pStyle w:val="Prrafodelista"/>
        <w:widowControl/>
        <w:suppressAutoHyphens w:val="0"/>
        <w:spacing w:after="200"/>
        <w:ind w:left="567"/>
        <w:contextualSpacing/>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Sin perjuicio de lo antes expuesto, cabe indicar que con ocasión de la referida solicitud, este Colegiado ha tomado conocimiento que la emisión de la Resolución Nº 810-2011-TC-S1 –mediante la cual se resolvió declarar no ha lugar la imposición de sanción administrativa contra la empresa Corporación Nuevo Mundo SAC- habría sido expedida sin haber tomado en consideración la respuesta remitida por la Entidad respecto de la información solicitada por la Secretaría Técnica del Tribunal sobre la autorización expresa del postor para que se le notifique vía correo electrónico.</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Sobre el particular, de la información obrante en autos, se advierte que mediante Carta Nº GLOG-UA-2588-2010 del 20 de setiembre, la Entidad puso en conocimiento del Tribunal que el Postor, no cumplió con suscribir el contrato de manera injustificada, remitiendo para el efecto la información acreditativa correspondiente.</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No obstante haber remitido la Entidad, la información antes indicada, la Secretaría Técnica del Tribunal mediante decreto de fecha 23 de setiembre de 2010, notificado el 01 de diciembre del mismo año, le requirió la remisión de </w:t>
      </w:r>
      <w:r w:rsidRPr="00DB24C9">
        <w:rPr>
          <w:rFonts w:ascii="Tahoma" w:hAnsi="Tahoma" w:cs="Tahoma"/>
          <w:i/>
          <w:sz w:val="20"/>
        </w:rPr>
        <w:t>“copia legible de la Carta debidamente recibida y/o diligenciada, a través de la cual citó a la empresa Corporación Nuevo Mundo SAC para la suscripción del Contrato o, de ser el caso, remitir copia del documento mediante el cual la referida empresa autorizó la notificación vía correo electrónico”.</w:t>
      </w:r>
    </w:p>
    <w:p w:rsidR="00357612" w:rsidRPr="00DB24C9" w:rsidRDefault="00357612" w:rsidP="00357612">
      <w:pPr>
        <w:pStyle w:val="Prrafodelista"/>
        <w:rPr>
          <w:rFonts w:ascii="Tahoma" w:hAnsi="Tahoma" w:cs="Tahoma"/>
          <w:i/>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i/>
          <w:sz w:val="20"/>
        </w:rPr>
      </w:pPr>
      <w:r w:rsidRPr="00DB24C9">
        <w:rPr>
          <w:rFonts w:ascii="Tahoma" w:hAnsi="Tahoma" w:cs="Tahoma"/>
          <w:sz w:val="20"/>
        </w:rPr>
        <w:t xml:space="preserve">La Entidad mediante escrito s/n de fecha 16 de diciembre remitió al Tribunal copia del documento denominado </w:t>
      </w:r>
      <w:r w:rsidRPr="00DB24C9">
        <w:rPr>
          <w:rFonts w:ascii="Tahoma" w:hAnsi="Tahoma" w:cs="Tahoma"/>
          <w:i/>
          <w:sz w:val="20"/>
        </w:rPr>
        <w:t>“Declaración Jurada del Postor”,</w:t>
      </w:r>
      <w:r w:rsidRPr="00DB24C9">
        <w:rPr>
          <w:rFonts w:ascii="Tahoma" w:hAnsi="Tahoma" w:cs="Tahoma"/>
          <w:sz w:val="20"/>
        </w:rPr>
        <w:t xml:space="preserve"> señalando expresamente que estaban remitiendo </w:t>
      </w:r>
      <w:r w:rsidRPr="00DB24C9">
        <w:rPr>
          <w:rFonts w:ascii="Tahoma" w:hAnsi="Tahoma" w:cs="Tahoma"/>
          <w:i/>
          <w:sz w:val="20"/>
        </w:rPr>
        <w:t>“copia de la Carta de la Empresa Corporación Nuevo Mundo, de fecha 07 de junio de 2010, dirigida a PETROPERU S.A., donde el representante de dicha empresa dice: “autorizamos la notificación de las actuaciones derivadas del proceso, al correo electrónico y fax señalados, sin que tenga</w:t>
      </w:r>
      <w:r w:rsidRPr="00DB24C9">
        <w:rPr>
          <w:rFonts w:ascii="Tahoma" w:hAnsi="Tahoma" w:cs="Tahoma"/>
          <w:sz w:val="20"/>
        </w:rPr>
        <w:t xml:space="preserve"> </w:t>
      </w:r>
      <w:r w:rsidRPr="00DB24C9">
        <w:rPr>
          <w:rFonts w:ascii="Tahoma" w:hAnsi="Tahoma" w:cs="Tahoma"/>
          <w:i/>
          <w:sz w:val="20"/>
        </w:rPr>
        <w:t>que recurrir a los mecanismos tradicionales para que éstas tengan eficacia (…)”</w:t>
      </w:r>
      <w:r w:rsidRPr="00DB24C9">
        <w:rPr>
          <w:rFonts w:ascii="Tahoma" w:hAnsi="Tahoma" w:cs="Tahoma"/>
          <w:sz w:val="20"/>
        </w:rPr>
        <w:t>,  circunstancia que indujo a error al Colegiado en la valoración del documento, en la medida que lo remitido no calzaba de manera exacta con los términos de lo solicitado por la Secretaría.</w:t>
      </w:r>
    </w:p>
    <w:p w:rsidR="00357612" w:rsidRPr="00DB24C9" w:rsidRDefault="00357612" w:rsidP="00357612">
      <w:pPr>
        <w:pStyle w:val="Prrafodelista"/>
        <w:rPr>
          <w:rFonts w:ascii="Tahoma" w:hAnsi="Tahoma" w:cs="Tahoma"/>
          <w:i/>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En ese sentido, es que el Colegiado en el fundamento 17 de la Resolución materia de análisis señala que se </w:t>
      </w:r>
      <w:r w:rsidRPr="00DB24C9">
        <w:rPr>
          <w:rFonts w:ascii="Tahoma" w:hAnsi="Tahoma" w:cs="Tahoma"/>
          <w:i/>
          <w:sz w:val="20"/>
        </w:rPr>
        <w:t xml:space="preserve">“requirió a la Entidad que informase si el Postor autorizó de manera expresa que lo citaran para la suscripción del contrato vía facsímil. Sin embargo, la Entidad no ha cumplido con informar al respecto, hecho que debe ser puesto en conocimiento del Órgano de Control Institucional, para la adopción de las medidas correspondientes“. </w:t>
      </w:r>
      <w:r w:rsidRPr="00DB24C9">
        <w:rPr>
          <w:rFonts w:ascii="Tahoma" w:hAnsi="Tahoma" w:cs="Tahoma"/>
          <w:sz w:val="20"/>
        </w:rPr>
        <w:t xml:space="preserve">Al respecto es importante aclarar que dicho requerimiento de </w:t>
      </w:r>
      <w:r w:rsidRPr="00DB24C9">
        <w:rPr>
          <w:rFonts w:ascii="Tahoma" w:hAnsi="Tahoma" w:cs="Tahoma"/>
          <w:sz w:val="20"/>
        </w:rPr>
        <w:lastRenderedPageBreak/>
        <w:t>información que fue efectuado por la Secretaría del Tribunal como se desprende del decreto de fecha 23 de setiembre de 2010</w:t>
      </w:r>
      <w:r w:rsidRPr="00DB24C9">
        <w:rPr>
          <w:rFonts w:ascii="Tahoma" w:hAnsi="Tahoma" w:cs="Tahoma"/>
          <w:i/>
          <w:sz w:val="20"/>
        </w:rPr>
        <w:t>;</w:t>
      </w:r>
      <w:r w:rsidRPr="00DB24C9">
        <w:rPr>
          <w:rFonts w:ascii="Tahoma" w:hAnsi="Tahoma" w:cs="Tahoma"/>
          <w:sz w:val="20"/>
        </w:rPr>
        <w:t xml:space="preserve"> siendo que como consecuencia de ello, en el numeral 18 de los fundamentos de la recurrida se indica que “</w:t>
      </w:r>
      <w:r w:rsidRPr="00DB24C9">
        <w:rPr>
          <w:rFonts w:ascii="Tahoma" w:hAnsi="Tahoma" w:cs="Tahoma"/>
          <w:i/>
          <w:sz w:val="20"/>
        </w:rPr>
        <w:t>el postor no autorizó la notificación vía facsímil, y por tanto incumplió con la formalidad que la Entidad debió observar según el orden de prelación dispuesto en la normativa a fin de citar al postor para la suscripción del contrato”</w:t>
      </w:r>
      <w:r w:rsidRPr="00DB24C9">
        <w:rPr>
          <w:rFonts w:ascii="Tahoma" w:hAnsi="Tahoma" w:cs="Tahoma"/>
          <w:sz w:val="20"/>
        </w:rPr>
        <w:t xml:space="preserve">. </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Ahora bien, resulta evidente a la luz del re examen de la documentación obrante en el expediente, generada con ocasión de la petición efectuada por la Entidad con fechas 22 de julio y 11 de agosto de 2011, respectivamente, que el Colegiado fue inducido a una valoración errada de los elementos de prueba remitidos originalmente por la Entidad, que lo llevó a concluir equivocadamente que ésta no habría cumplido con el procedimiento previsto en la normativa para la citación a la suscripción del contrato, eximiendo por tanto de responsabilidad al Postor, circunstancia que constituye un vicio que afecta la validez de la Resolución Nº 810-2011-TC-S1.</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Al respecto, el artículo 202 de la Ley Nº 27444, establece que opera la nulidad de oficio, en los siguiente casos:</w:t>
      </w:r>
    </w:p>
    <w:p w:rsidR="00357612" w:rsidRPr="00DB24C9" w:rsidRDefault="00357612" w:rsidP="00357612">
      <w:pPr>
        <w:pStyle w:val="Prrafodelista"/>
        <w:jc w:val="both"/>
        <w:rPr>
          <w:rFonts w:ascii="Tahoma" w:hAnsi="Tahoma" w:cs="Tahoma"/>
          <w:sz w:val="20"/>
        </w:rPr>
      </w:pPr>
    </w:p>
    <w:p w:rsidR="00357612" w:rsidRPr="00DB24C9" w:rsidRDefault="00357612" w:rsidP="00357612">
      <w:pPr>
        <w:pStyle w:val="Prrafodelista"/>
        <w:ind w:left="1330" w:hanging="763"/>
        <w:jc w:val="both"/>
        <w:rPr>
          <w:rFonts w:ascii="Tahoma" w:hAnsi="Tahoma" w:cs="Tahoma"/>
          <w:b/>
          <w:sz w:val="20"/>
        </w:rPr>
      </w:pPr>
      <w:r w:rsidRPr="00DB24C9">
        <w:rPr>
          <w:rFonts w:ascii="Tahoma" w:hAnsi="Tahoma" w:cs="Tahoma"/>
          <w:sz w:val="20"/>
        </w:rPr>
        <w:t xml:space="preserve">202.1 </w:t>
      </w:r>
      <w:r w:rsidRPr="00DB24C9">
        <w:rPr>
          <w:rFonts w:ascii="Tahoma" w:hAnsi="Tahoma" w:cs="Tahoma"/>
          <w:sz w:val="20"/>
        </w:rPr>
        <w:tab/>
      </w:r>
      <w:r w:rsidRPr="00DB24C9">
        <w:rPr>
          <w:rFonts w:ascii="Tahoma" w:hAnsi="Tahoma" w:cs="Tahoma"/>
          <w:b/>
          <w:sz w:val="20"/>
        </w:rPr>
        <w:t>En cualquiera de los casos enumerados en el artículo 10, puede declararse de oficio la nulidad de los actos administrativos, aun cuando hayan quedado firmes, siempre que agravien el interés público.</w:t>
      </w:r>
    </w:p>
    <w:p w:rsidR="00357612" w:rsidRPr="00DB24C9" w:rsidRDefault="00357612" w:rsidP="00357612">
      <w:pPr>
        <w:autoSpaceDE w:val="0"/>
        <w:autoSpaceDN w:val="0"/>
        <w:adjustRightInd w:val="0"/>
        <w:ind w:left="1330" w:hanging="763"/>
        <w:jc w:val="both"/>
        <w:rPr>
          <w:rFonts w:ascii="Tahoma" w:hAnsi="Tahoma" w:cs="Tahoma"/>
          <w:sz w:val="20"/>
          <w:szCs w:val="20"/>
        </w:rPr>
      </w:pPr>
      <w:r w:rsidRPr="00DB24C9">
        <w:rPr>
          <w:rFonts w:ascii="Tahoma" w:hAnsi="Tahoma" w:cs="Tahoma"/>
          <w:sz w:val="20"/>
          <w:szCs w:val="20"/>
        </w:rPr>
        <w:tab/>
        <w:t>(…)</w:t>
      </w:r>
    </w:p>
    <w:p w:rsidR="00357612" w:rsidRPr="00DB24C9" w:rsidRDefault="00357612" w:rsidP="00357612">
      <w:pPr>
        <w:autoSpaceDE w:val="0"/>
        <w:autoSpaceDN w:val="0"/>
        <w:adjustRightInd w:val="0"/>
        <w:ind w:left="1330" w:hanging="763"/>
        <w:jc w:val="both"/>
        <w:rPr>
          <w:rFonts w:ascii="Tahoma" w:hAnsi="Tahoma" w:cs="Tahoma"/>
          <w:sz w:val="20"/>
          <w:szCs w:val="20"/>
        </w:rPr>
      </w:pPr>
      <w:r w:rsidRPr="00DB24C9">
        <w:rPr>
          <w:rFonts w:ascii="Tahoma" w:hAnsi="Tahoma" w:cs="Tahoma"/>
          <w:sz w:val="20"/>
          <w:szCs w:val="20"/>
        </w:rPr>
        <w:t xml:space="preserve">202.5 </w:t>
      </w:r>
      <w:r w:rsidRPr="00DB24C9">
        <w:rPr>
          <w:rFonts w:ascii="Tahoma" w:hAnsi="Tahoma" w:cs="Tahoma"/>
          <w:sz w:val="20"/>
          <w:szCs w:val="20"/>
        </w:rPr>
        <w:tab/>
      </w:r>
      <w:r w:rsidRPr="00DB24C9">
        <w:rPr>
          <w:rFonts w:ascii="Tahoma" w:hAnsi="Tahoma" w:cs="Tahoma"/>
          <w:b/>
          <w:sz w:val="20"/>
          <w:szCs w:val="20"/>
        </w:rPr>
        <w:t>Los actos administrativos emitidos por</w:t>
      </w:r>
      <w:r w:rsidRPr="00DB24C9">
        <w:rPr>
          <w:rFonts w:ascii="Tahoma" w:hAnsi="Tahoma" w:cs="Tahoma"/>
          <w:sz w:val="20"/>
          <w:szCs w:val="20"/>
        </w:rPr>
        <w:t xml:space="preserve"> consejos o </w:t>
      </w:r>
      <w:r w:rsidRPr="00DB24C9">
        <w:rPr>
          <w:rFonts w:ascii="Tahoma" w:hAnsi="Tahoma" w:cs="Tahoma"/>
          <w:b/>
          <w:sz w:val="20"/>
          <w:szCs w:val="20"/>
        </w:rPr>
        <w:t>tribunales regidos por leyes especiales, competentes para resolver controversias en última instancia administrativa, sólo pueden ser objeto de declaración de nulidad de oficio en sede administrativa por el propio</w:t>
      </w:r>
      <w:r w:rsidRPr="00DB24C9">
        <w:rPr>
          <w:rFonts w:ascii="Tahoma" w:hAnsi="Tahoma" w:cs="Tahoma"/>
          <w:sz w:val="20"/>
          <w:szCs w:val="20"/>
        </w:rPr>
        <w:t xml:space="preserve"> consejo o </w:t>
      </w:r>
      <w:r w:rsidRPr="00DB24C9">
        <w:rPr>
          <w:rFonts w:ascii="Tahoma" w:hAnsi="Tahoma" w:cs="Tahoma"/>
          <w:b/>
          <w:sz w:val="20"/>
          <w:szCs w:val="20"/>
        </w:rPr>
        <w:t>tribunal con el acuerdo unánime de sus miembros</w:t>
      </w:r>
      <w:r w:rsidRPr="00DB24C9">
        <w:rPr>
          <w:rFonts w:ascii="Tahoma" w:hAnsi="Tahoma" w:cs="Tahoma"/>
          <w:sz w:val="20"/>
          <w:szCs w:val="20"/>
        </w:rPr>
        <w:t xml:space="preserve">. Esta atribución sólo podrá ejercerse dentro del plazo de un año contado desde la fecha en que el acto es notificado al interesado. También procede que el titular de la Entidad demande su nulidad en la vía de proceso contencioso administrativo, siempre que la demanda se interponga dentro de los tres años siguientes de notificada la resolución emitida por el consejo o tribunal. </w:t>
      </w:r>
    </w:p>
    <w:p w:rsidR="00357612" w:rsidRPr="00DB24C9" w:rsidRDefault="00357612" w:rsidP="00357612">
      <w:pPr>
        <w:autoSpaceDE w:val="0"/>
        <w:autoSpaceDN w:val="0"/>
        <w:adjustRightInd w:val="0"/>
        <w:jc w:val="both"/>
        <w:rPr>
          <w:rFonts w:ascii="Tahoma" w:hAnsi="Tahoma" w:cs="Tahoma"/>
          <w:sz w:val="20"/>
          <w:szCs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Cabe indicar, que el artículo 10 del mismo cuerpo normativo establece que son vicios del acto administrativo, que causan su nulidad de pleno derecho, </w:t>
      </w:r>
      <w:r w:rsidRPr="00DB24C9">
        <w:rPr>
          <w:rFonts w:ascii="Tahoma" w:hAnsi="Tahoma" w:cs="Tahoma"/>
          <w:i/>
          <w:sz w:val="20"/>
          <w:u w:val="single"/>
        </w:rPr>
        <w:t>“El defecto o la omisión de algunos de sus requisitos de validez, salvo que se presente alguno de los supuestos de conservación del acto a que se refiere el artículo 14”</w:t>
      </w:r>
      <w:r w:rsidRPr="00DB24C9">
        <w:rPr>
          <w:rFonts w:ascii="Tahoma" w:hAnsi="Tahoma" w:cs="Tahoma"/>
          <w:i/>
          <w:sz w:val="20"/>
        </w:rPr>
        <w:t>.</w:t>
      </w:r>
    </w:p>
    <w:p w:rsidR="00357612" w:rsidRPr="00DB24C9" w:rsidRDefault="00357612" w:rsidP="00357612">
      <w:pPr>
        <w:pStyle w:val="Prrafodelista"/>
        <w:widowControl/>
        <w:suppressAutoHyphens w:val="0"/>
        <w:spacing w:after="200"/>
        <w:ind w:left="567"/>
        <w:contextualSpacing/>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En el presente caso, este Colegiado ha tomado conocimiento de que se ha incurrido en un vicio de nulidad al momento de la emisión de la Resolución Nº 810-2011-TC-S1, por cuanto ésta ha sido expedida con una motivación errada de sus fundamentos de hecho, toda vez que se valoró de forma incorrecta el documento denominado “</w:t>
      </w:r>
      <w:r w:rsidRPr="00DB24C9">
        <w:rPr>
          <w:rFonts w:ascii="Tahoma" w:hAnsi="Tahoma" w:cs="Tahoma"/>
          <w:i/>
          <w:sz w:val="20"/>
        </w:rPr>
        <w:t>Declaración Jurada del Postor”</w:t>
      </w:r>
      <w:r w:rsidRPr="00DB24C9">
        <w:rPr>
          <w:rFonts w:ascii="Tahoma" w:hAnsi="Tahoma" w:cs="Tahoma"/>
          <w:sz w:val="20"/>
        </w:rPr>
        <w:t xml:space="preserve">; tal como se advierte de los considerandos antes señalados.   </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Respecto a la motivación de los actos administrativos, </w:t>
      </w:r>
      <w:r w:rsidRPr="00DB24C9">
        <w:rPr>
          <w:rFonts w:ascii="Tahoma" w:hAnsi="Tahoma" w:cs="Tahoma"/>
          <w:smallCaps/>
          <w:sz w:val="20"/>
        </w:rPr>
        <w:t>DROMI</w:t>
      </w:r>
      <w:r w:rsidRPr="00DB24C9">
        <w:rPr>
          <w:rFonts w:ascii="Tahoma" w:hAnsi="Tahoma" w:cs="Tahoma"/>
          <w:sz w:val="20"/>
        </w:rPr>
        <w:t xml:space="preserve"> la ha definido como: </w:t>
      </w:r>
      <w:r w:rsidRPr="00DB24C9">
        <w:rPr>
          <w:rFonts w:ascii="Tahoma" w:hAnsi="Tahoma" w:cs="Tahoma"/>
          <w:i/>
          <w:sz w:val="20"/>
        </w:rPr>
        <w:t xml:space="preserve">“la declaración de las circunstancias de hecho y de derecho que han inducido a la emisión del acto. Está contenida dentro de lo que usualmente se denominan </w:t>
      </w:r>
      <w:r w:rsidRPr="00DB24C9">
        <w:rPr>
          <w:rFonts w:ascii="Tahoma" w:hAnsi="Tahoma" w:cs="Tahoma"/>
          <w:sz w:val="20"/>
        </w:rPr>
        <w:t>considerandos</w:t>
      </w:r>
      <w:r w:rsidRPr="00DB24C9">
        <w:rPr>
          <w:rFonts w:ascii="Tahoma" w:hAnsi="Tahoma" w:cs="Tahoma"/>
          <w:i/>
          <w:sz w:val="20"/>
        </w:rPr>
        <w:t xml:space="preserve">. La constituyen, por tanto, los “presupuestos” o razones” del acto. Es la fundamentación </w:t>
      </w:r>
      <w:r w:rsidRPr="00DB24C9">
        <w:rPr>
          <w:rFonts w:ascii="Tahoma" w:hAnsi="Tahoma" w:cs="Tahoma"/>
          <w:i/>
          <w:sz w:val="20"/>
        </w:rPr>
        <w:lastRenderedPageBreak/>
        <w:t xml:space="preserve">fáctica y jurídica de él, con que la Administración sostiene la legitimidad y oportunidad de su decisión.” </w:t>
      </w:r>
      <w:r w:rsidRPr="00DB24C9">
        <w:rPr>
          <w:rStyle w:val="Refdenotaalpie"/>
          <w:rFonts w:ascii="Tahoma" w:hAnsi="Tahoma" w:cs="Tahoma"/>
          <w:sz w:val="20"/>
        </w:rPr>
        <w:footnoteReference w:id="3"/>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En el ordenamiento administrativo peruano, se ha determinado que la motivación constituye un </w:t>
      </w:r>
      <w:r w:rsidRPr="00DB24C9">
        <w:rPr>
          <w:rFonts w:ascii="Tahoma" w:hAnsi="Tahoma" w:cs="Tahoma"/>
          <w:b/>
          <w:sz w:val="20"/>
        </w:rPr>
        <w:t>elemento de validez</w:t>
      </w:r>
      <w:r w:rsidRPr="00DB24C9">
        <w:rPr>
          <w:rFonts w:ascii="Tahoma" w:hAnsi="Tahoma" w:cs="Tahoma"/>
          <w:sz w:val="20"/>
        </w:rPr>
        <w:t xml:space="preserve"> de los actos administrativos, tal como se aprecia en el numeral 4 del artículo 3º de la Ley del Procedimiento Administrativo General, Ley Nº 27444 y sus modificatorias</w:t>
      </w:r>
      <w:r w:rsidRPr="00DB24C9">
        <w:rPr>
          <w:rStyle w:val="Refdenotaalpie"/>
          <w:rFonts w:ascii="Tahoma" w:hAnsi="Tahoma" w:cs="Tahoma"/>
          <w:sz w:val="20"/>
        </w:rPr>
        <w:footnoteReference w:id="4"/>
      </w:r>
      <w:r w:rsidRPr="00DB24C9">
        <w:rPr>
          <w:rFonts w:ascii="Tahoma" w:hAnsi="Tahoma" w:cs="Tahoma"/>
          <w:sz w:val="20"/>
        </w:rPr>
        <w:t>. En ese sentido, dicho cuerpo legal exige que la motivación del acto administrativo “</w:t>
      </w:r>
      <w:r w:rsidRPr="00DB24C9">
        <w:rPr>
          <w:rFonts w:ascii="Tahoma" w:hAnsi="Tahoma" w:cs="Tahoma"/>
          <w:i/>
          <w:sz w:val="20"/>
        </w:rPr>
        <w:t>deberá ser expresa, mediante una relación concreta y directa de los hechos probados relevantes del caso específico, y la exposición de las razones jurídicas y normativas que con referencia directa a los anteriores justifican el acto adoptado.”</w:t>
      </w:r>
      <w:r w:rsidRPr="00DB24C9">
        <w:rPr>
          <w:rStyle w:val="Refdenotaalpie"/>
          <w:rFonts w:ascii="Tahoma" w:hAnsi="Tahoma" w:cs="Tahoma"/>
          <w:sz w:val="20"/>
        </w:rPr>
        <w:t xml:space="preserve"> </w:t>
      </w:r>
      <w:r w:rsidRPr="00DB24C9">
        <w:rPr>
          <w:rStyle w:val="Refdenotaalpie"/>
          <w:rFonts w:ascii="Tahoma" w:hAnsi="Tahoma" w:cs="Tahoma"/>
          <w:sz w:val="20"/>
        </w:rPr>
        <w:footnoteReference w:id="5"/>
      </w:r>
      <w:r w:rsidRPr="00DB24C9">
        <w:rPr>
          <w:rFonts w:ascii="Tahoma" w:hAnsi="Tahoma" w:cs="Tahoma"/>
          <w:sz w:val="20"/>
        </w:rPr>
        <w:t xml:space="preserve"> </w:t>
      </w:r>
    </w:p>
    <w:p w:rsidR="00357612" w:rsidRPr="00DB24C9" w:rsidRDefault="00357612" w:rsidP="00357612">
      <w:pPr>
        <w:pStyle w:val="Prrafodelista"/>
        <w:rPr>
          <w:rFonts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Cabe acotar que la Constitución establece que “la motivación de la actuación administrativa, es decir, la fundamentación con los razonamientos en que se apoya, es una exigencia ineludible para todo tipo de actos administrativos, imponiéndose las mismas razones para exigirla tanto respecto de actos emanados de una potestad reglada como discrecional (…)”</w:t>
      </w:r>
      <w:r w:rsidRPr="00DB24C9">
        <w:rPr>
          <w:rStyle w:val="Refdenotaalpie"/>
          <w:rFonts w:cs="Tahoma"/>
          <w:sz w:val="20"/>
        </w:rPr>
        <w:t xml:space="preserve"> </w:t>
      </w:r>
      <w:r w:rsidRPr="00DB24C9">
        <w:rPr>
          <w:rStyle w:val="Refdenotaalpie"/>
          <w:rFonts w:cs="Tahoma"/>
          <w:sz w:val="20"/>
        </w:rPr>
        <w:footnoteReference w:id="6"/>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Style w:val="Textoennegrita"/>
          <w:rFonts w:ascii="Tahoma" w:hAnsi="Tahoma" w:cs="Tahoma"/>
          <w:sz w:val="20"/>
          <w:u w:val="single"/>
        </w:rPr>
      </w:pPr>
      <w:r w:rsidRPr="00DB24C9">
        <w:rPr>
          <w:rFonts w:ascii="Tahoma" w:hAnsi="Tahoma" w:cs="Tahoma"/>
          <w:sz w:val="20"/>
        </w:rPr>
        <w:t xml:space="preserve">Por todo lo expuesto, considerando que los hechos antes descritos afectan la validez de la decisión adoptada por el Colegiado, corresponde, bajo el amparo de lo establecido por el artículo 202 numeral 1 de la Ley Nº 27444, </w:t>
      </w:r>
      <w:r w:rsidRPr="00DB24C9">
        <w:rPr>
          <w:rStyle w:val="Textoennegrita"/>
          <w:rFonts w:ascii="Tahoma" w:hAnsi="Tahoma" w:cs="Tahoma"/>
          <w:sz w:val="20"/>
          <w:u w:val="single"/>
        </w:rPr>
        <w:t>declarar de oficio nula la Resolución Nº 810-2011-TC-S1, retrotrayendo el procedimiento al momento en que ocurrió el vicio; es decir, al momento previo a la emisión de la resolución que resuelve declarar no ha lugar la imposición de sanción administrativa contra la empresa Corporación Nuevo Mundo SAC.</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Habiéndose declarado nula la Resolución Nº 810</w:t>
      </w:r>
      <w:r w:rsidRPr="00DB24C9">
        <w:rPr>
          <w:rFonts w:ascii="Tahoma" w:hAnsi="Tahoma" w:cs="Tahoma"/>
          <w:bCs/>
          <w:sz w:val="20"/>
        </w:rPr>
        <w:t>-2011-TC-S1, corresponde que este Colegiado se pronuncie si procede o no determinar la responsabilidad del postor en la comisión de la infracción imputada.</w:t>
      </w:r>
    </w:p>
    <w:p w:rsidR="00357612" w:rsidRPr="00DB24C9" w:rsidRDefault="00357612" w:rsidP="00357612">
      <w:pPr>
        <w:pStyle w:val="Prrafodelista"/>
        <w:rPr>
          <w:rFonts w:ascii="Tahoma" w:hAnsi="Tahoma" w:cs="Tahoma"/>
          <w:bCs/>
          <w:sz w:val="20"/>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hAnsi="Tahoma" w:cs="Tahoma"/>
          <w:b/>
          <w:sz w:val="20"/>
        </w:rPr>
      </w:pPr>
      <w:r w:rsidRPr="00DB24C9">
        <w:rPr>
          <w:rFonts w:ascii="Tahoma" w:hAnsi="Tahoma" w:cs="Tahoma"/>
          <w:bCs/>
          <w:sz w:val="20"/>
        </w:rPr>
        <w:t xml:space="preserve">Al respecto, cabe señalar que de la revisión de la documentación obrante en autos, se aprecia que </w:t>
      </w:r>
      <w:r w:rsidRPr="00DB24C9">
        <w:rPr>
          <w:rFonts w:ascii="Tahoma" w:hAnsi="Tahoma" w:cs="Tahoma"/>
          <w:sz w:val="20"/>
        </w:rPr>
        <w:t xml:space="preserve">se ha denunciado al Postor por su supuesta responsabilidad </w:t>
      </w:r>
      <w:r w:rsidRPr="00DB24C9">
        <w:rPr>
          <w:rFonts w:ascii="Tahoma" w:hAnsi="Tahoma" w:cs="Tahoma"/>
          <w:sz w:val="20"/>
          <w:lang w:eastAsia="es-PE"/>
        </w:rPr>
        <w:t xml:space="preserve">al no haber suscrito injustificadamente </w:t>
      </w:r>
      <w:r w:rsidRPr="00DB24C9">
        <w:rPr>
          <w:rFonts w:ascii="Tahoma" w:eastAsiaTheme="minorHAnsi" w:hAnsi="Tahoma" w:cs="Tahoma"/>
          <w:iCs/>
          <w:color w:val="000000"/>
          <w:sz w:val="20"/>
          <w:lang w:eastAsia="en-US"/>
        </w:rPr>
        <w:t xml:space="preserve">la Orden de Compra </w:t>
      </w:r>
      <w:r w:rsidRPr="00DB24C9">
        <w:rPr>
          <w:rFonts w:ascii="Tahoma" w:hAnsi="Tahoma" w:cs="Tahoma"/>
          <w:sz w:val="20"/>
          <w:lang w:eastAsia="es-PE"/>
        </w:rPr>
        <w:t xml:space="preserve">derivado del </w:t>
      </w:r>
      <w:r w:rsidRPr="00DB24C9">
        <w:rPr>
          <w:rFonts w:ascii="Tahoma" w:eastAsiaTheme="minorHAnsi" w:hAnsi="Tahoma" w:cs="Tahoma"/>
          <w:iCs/>
          <w:color w:val="000000"/>
          <w:sz w:val="20"/>
          <w:lang w:eastAsia="en-US"/>
        </w:rPr>
        <w:t>Proceso por Competencia Menor Nº CME-0065-2010-OFP/PETROPERU</w:t>
      </w:r>
      <w:r w:rsidRPr="00DB24C9">
        <w:rPr>
          <w:rFonts w:ascii="Tahoma" w:hAnsi="Tahoma" w:cs="Tahoma"/>
          <w:sz w:val="20"/>
        </w:rPr>
        <w:t>, a pesar de haber sido ganador de la buena pro, infracción tipificada en el literal a) del artículo 51 de la Ley, en concordancia con el literal a) del numeral 1 del artículo 237 del Reglamento, normas vigentes al momento de suscitarse los hechos materia de denuncia.</w:t>
      </w:r>
    </w:p>
    <w:p w:rsidR="00357612" w:rsidRPr="00DB24C9" w:rsidRDefault="00357612" w:rsidP="00357612">
      <w:pPr>
        <w:pStyle w:val="Prrafodelista"/>
        <w:rPr>
          <w:rFonts w:ascii="Tahoma" w:hAnsi="Tahoma" w:cs="Tahoma"/>
          <w:sz w:val="20"/>
          <w:lang w:val="es-MX"/>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hAnsi="Tahoma" w:cs="Tahoma"/>
          <w:b/>
          <w:sz w:val="20"/>
        </w:rPr>
      </w:pPr>
      <w:r w:rsidRPr="00DB24C9">
        <w:rPr>
          <w:rFonts w:ascii="Tahoma" w:hAnsi="Tahoma" w:cs="Tahoma"/>
          <w:sz w:val="20"/>
          <w:lang w:val="es-MX"/>
        </w:rPr>
        <w:t xml:space="preserve">Conforme a los criterios utilizados por el Tribunal en anteriores oportunidades, para que </w:t>
      </w:r>
      <w:r w:rsidRPr="00DB24C9">
        <w:rPr>
          <w:rFonts w:ascii="Tahoma" w:hAnsi="Tahoma" w:cs="Tahoma"/>
          <w:sz w:val="20"/>
        </w:rPr>
        <w:t xml:space="preserve">dicha infracción se configure debe acreditarse que la Entidad haya cumplido con el </w:t>
      </w:r>
      <w:r w:rsidRPr="00DB24C9">
        <w:rPr>
          <w:rFonts w:ascii="Tahoma" w:hAnsi="Tahoma" w:cs="Tahoma"/>
          <w:sz w:val="20"/>
        </w:rPr>
        <w:lastRenderedPageBreak/>
        <w:t>procedimiento y los plazos establecidos para la suscripción del contrato, regulados en su Reglamento.</w:t>
      </w:r>
    </w:p>
    <w:p w:rsidR="00357612" w:rsidRPr="00DB24C9" w:rsidRDefault="00357612" w:rsidP="00357612">
      <w:pPr>
        <w:pStyle w:val="Prrafodelista"/>
        <w:rPr>
          <w:rFonts w:ascii="Tahoma" w:hAnsi="Tahoma" w:cs="Tahoma"/>
          <w:sz w:val="20"/>
        </w:rPr>
      </w:pPr>
    </w:p>
    <w:p w:rsidR="00357612" w:rsidRPr="00DB24C9" w:rsidRDefault="00357612" w:rsidP="00DB24C9">
      <w:pPr>
        <w:ind w:firstLine="567"/>
        <w:contextualSpacing/>
        <w:jc w:val="both"/>
        <w:rPr>
          <w:rFonts w:ascii="Tahoma" w:eastAsia="Calibri" w:hAnsi="Tahoma" w:cs="Tahoma"/>
          <w:b/>
          <w:i/>
          <w:sz w:val="20"/>
          <w:szCs w:val="20"/>
          <w:lang w:eastAsia="en-US"/>
        </w:rPr>
      </w:pPr>
      <w:r w:rsidRPr="00DB24C9">
        <w:rPr>
          <w:rFonts w:ascii="Tahoma" w:eastAsia="Calibri" w:hAnsi="Tahoma" w:cs="Tahoma"/>
          <w:b/>
          <w:i/>
          <w:sz w:val="20"/>
          <w:szCs w:val="20"/>
          <w:lang w:eastAsia="en-US"/>
        </w:rPr>
        <w:t>Sobre los hechos imputados</w:t>
      </w:r>
    </w:p>
    <w:p w:rsidR="00357612" w:rsidRPr="00DB24C9" w:rsidRDefault="00357612" w:rsidP="00357612">
      <w:pPr>
        <w:pStyle w:val="Prrafodelista"/>
        <w:rPr>
          <w:rFonts w:ascii="Tahoma" w:hAnsi="Tahoma" w:cs="Tahoma"/>
          <w:sz w:val="20"/>
        </w:rPr>
      </w:pPr>
    </w:p>
    <w:p w:rsidR="00DB24C9" w:rsidRPr="00DB24C9" w:rsidRDefault="00357612" w:rsidP="00DB24C9">
      <w:pPr>
        <w:pStyle w:val="Prrafodelista"/>
        <w:widowControl/>
        <w:numPr>
          <w:ilvl w:val="2"/>
          <w:numId w:val="6"/>
        </w:numPr>
        <w:suppressAutoHyphens w:val="0"/>
        <w:autoSpaceDE w:val="0"/>
        <w:autoSpaceDN w:val="0"/>
        <w:adjustRightInd w:val="0"/>
        <w:spacing w:after="200"/>
        <w:ind w:left="567" w:hanging="567"/>
        <w:contextualSpacing/>
        <w:jc w:val="both"/>
        <w:rPr>
          <w:rFonts w:ascii="Tahoma" w:hAnsi="Tahoma" w:cs="Tahoma"/>
          <w:b/>
          <w:sz w:val="20"/>
        </w:rPr>
      </w:pPr>
      <w:r w:rsidRPr="00DB24C9">
        <w:rPr>
          <w:rFonts w:ascii="Tahoma" w:eastAsia="Calibri" w:hAnsi="Tahoma" w:cs="Tahoma"/>
          <w:sz w:val="20"/>
          <w:lang w:eastAsia="en-US"/>
        </w:rPr>
        <w:t xml:space="preserve">Según lo establecido en el numeral 10.1 del Reglamento de PETROPERÚ, </w:t>
      </w:r>
      <w:r w:rsidRPr="00DB24C9">
        <w:rPr>
          <w:rFonts w:ascii="Tahoma" w:eastAsia="Calibri" w:hAnsi="Tahoma" w:cs="Tahoma"/>
          <w:b/>
          <w:sz w:val="20"/>
          <w:lang w:eastAsia="en-US"/>
        </w:rPr>
        <w:t>el contrato entre dicha Entidad y el ganador de la buena pro se formaliza con la suscripción del correspondiente documento contractual o con la recepción de la Orden de Compra u Orden de Trabajo a Terceros conforme a las formalidades y plazos estipulados en las Bases.</w:t>
      </w:r>
    </w:p>
    <w:p w:rsidR="00DB24C9" w:rsidRDefault="00DB24C9"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b/>
          <w:sz w:val="20"/>
          <w:lang w:eastAsia="en-US"/>
        </w:rPr>
      </w:pPr>
    </w:p>
    <w:p w:rsidR="00DB24C9" w:rsidRDefault="00357612"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r w:rsidRPr="00DB24C9">
        <w:rPr>
          <w:rFonts w:ascii="Tahoma" w:eastAsia="Calibri" w:hAnsi="Tahoma" w:cs="Tahoma"/>
          <w:b/>
          <w:sz w:val="20"/>
          <w:lang w:eastAsia="en-US"/>
        </w:rPr>
        <w:t>Cuando el postor ganador no se presente a suscribir el contrato dentro del plazo otorgado o se niegue injustificadamente a recibir la Orden de Compra u Orden de Trabajo a Terceros, perderá automáticamente la buena pro, sin perjuicio de la sanción administrativa aplicable</w:t>
      </w:r>
      <w:r w:rsidRPr="00DB24C9">
        <w:rPr>
          <w:rFonts w:ascii="Tahoma" w:eastAsia="Calibri" w:hAnsi="Tahoma" w:cs="Tahoma"/>
          <w:sz w:val="20"/>
          <w:lang w:eastAsia="en-US"/>
        </w:rPr>
        <w:t>.  En tal caso, PETROPERU citará al postor que ocupó el segundo lugar en el orden de prelación para que formalice el contrato, procediéndose de acuerdo con el mismo plazo y formalidades que con el primero.  Si este postor no suscribe el contrato, PETROPERU declarará desierto el proceso de selección, sin perjuicio de la sanción administrativa aplicable.</w:t>
      </w:r>
    </w:p>
    <w:p w:rsidR="00DB24C9" w:rsidRDefault="00DB24C9"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p>
    <w:p w:rsidR="00DB24C9" w:rsidRDefault="00357612"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r w:rsidRPr="00DB24C9">
        <w:rPr>
          <w:rFonts w:ascii="Tahoma" w:eastAsia="Calibri" w:hAnsi="Tahoma" w:cs="Tahoma"/>
          <w:sz w:val="20"/>
          <w:lang w:eastAsia="en-US"/>
        </w:rPr>
        <w:t>Para la formalización del contrato o documento respectivo, el postor ganador de la buena pro deberá contar con inscripción vigente en el Registro Nacional de Proveedores que administra el OSCE, no deberá encontrarse inhabilitado para contratar con el Estado, según lo establecido en el Registro Nacional de Proveedores a cargo del OSCE y/o en la Base de Datos de Proveedores Calificados de PETROPERU y deberá presentar la documentación que haya sido requerida en las Bases.</w:t>
      </w:r>
    </w:p>
    <w:p w:rsidR="00DB24C9" w:rsidRDefault="00DB24C9"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p>
    <w:p w:rsidR="00DB24C9" w:rsidRDefault="00357612"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r w:rsidRPr="00DB24C9">
        <w:rPr>
          <w:rFonts w:ascii="Tahoma" w:eastAsia="Calibri" w:hAnsi="Tahoma" w:cs="Tahoma"/>
          <w:sz w:val="20"/>
          <w:lang w:eastAsia="en-US"/>
        </w:rPr>
        <w:t>Cuando se requiera la presentación de Carta Fianza como garantía de Fiel Cumplimiento, ésta deberá ser presentada de manera previa a la formalización del contrato; de manera excepcional PETROPERU podrá autorizar que la Carta Fianza correspondiente sea presentada luego de formalizado el contrato o documento respectivo, en este supuesto el plazo otorgado, no podrá exceder a los diez (10) días hábiles de dicha formalización.</w:t>
      </w:r>
    </w:p>
    <w:p w:rsidR="00DB24C9" w:rsidRDefault="00DB24C9"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p>
    <w:p w:rsidR="00DB24C9" w:rsidRDefault="00357612"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r w:rsidRPr="00DB24C9">
        <w:rPr>
          <w:rFonts w:ascii="Tahoma" w:eastAsia="Calibri" w:hAnsi="Tahoma" w:cs="Tahoma"/>
          <w:sz w:val="20"/>
          <w:lang w:eastAsia="en-US"/>
        </w:rPr>
        <w:t>En caso de no presentarse la respectiva Carta Fianza dentro del plazo fijado el contrato no podrá formalizarse o será resuelto, según corresponda, registrando este incumplimiento en la Base de Datos de Proveedores Calificados de PETROPERU y se comunicará al Tribunal de Contrataciones del Estado para las acciones pertinentes.</w:t>
      </w:r>
    </w:p>
    <w:p w:rsidR="00DB24C9" w:rsidRDefault="00DB24C9"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p>
    <w:p w:rsidR="00357612" w:rsidRDefault="00357612" w:rsidP="00DB24C9">
      <w:pPr>
        <w:pStyle w:val="Prrafodelista"/>
        <w:widowControl/>
        <w:suppressAutoHyphens w:val="0"/>
        <w:autoSpaceDE w:val="0"/>
        <w:autoSpaceDN w:val="0"/>
        <w:adjustRightInd w:val="0"/>
        <w:spacing w:after="200"/>
        <w:ind w:left="567"/>
        <w:contextualSpacing/>
        <w:jc w:val="both"/>
        <w:rPr>
          <w:rFonts w:ascii="Tahoma" w:eastAsia="Calibri" w:hAnsi="Tahoma" w:cs="Tahoma"/>
          <w:sz w:val="20"/>
          <w:lang w:eastAsia="en-US"/>
        </w:rPr>
      </w:pPr>
      <w:r w:rsidRPr="00DB24C9">
        <w:rPr>
          <w:rFonts w:ascii="Tahoma" w:eastAsia="Calibri" w:hAnsi="Tahoma" w:cs="Tahoma"/>
          <w:sz w:val="20"/>
          <w:lang w:eastAsia="en-US"/>
        </w:rPr>
        <w:t>En el caso de consorcios, en la promesa formal, se debe establecer la participación de cada integrante del mismo, si no lo establece se presume que la participación de cada integrante es en proporciones iguales, condición que se mantendrá al suscribirse el contrato de Consorcio, así como, la suscripción del contrato con PETROPERU.</w:t>
      </w:r>
    </w:p>
    <w:p w:rsidR="00DB24C9" w:rsidRPr="00DB24C9" w:rsidRDefault="00DB24C9" w:rsidP="00DB24C9">
      <w:pPr>
        <w:pStyle w:val="Prrafodelista"/>
        <w:widowControl/>
        <w:suppressAutoHyphens w:val="0"/>
        <w:autoSpaceDE w:val="0"/>
        <w:autoSpaceDN w:val="0"/>
        <w:adjustRightInd w:val="0"/>
        <w:spacing w:after="200"/>
        <w:ind w:left="567"/>
        <w:contextualSpacing/>
        <w:jc w:val="both"/>
        <w:rPr>
          <w:rFonts w:ascii="Tahoma" w:hAnsi="Tahoma" w:cs="Tahoma"/>
          <w:b/>
          <w:sz w:val="20"/>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hAnsi="Tahoma" w:cs="Tahoma"/>
          <w:b/>
          <w:sz w:val="20"/>
        </w:rPr>
      </w:pPr>
      <w:r w:rsidRPr="00DB24C9">
        <w:rPr>
          <w:rFonts w:ascii="Tahoma" w:eastAsiaTheme="minorHAnsi" w:hAnsi="Tahoma" w:cs="Tahoma"/>
          <w:color w:val="000000"/>
          <w:sz w:val="20"/>
          <w:lang w:eastAsia="en-US"/>
        </w:rPr>
        <w:t xml:space="preserve">En línea con lo anterior, en el numeral 15.1 de las Bases Administrativas, se determinó que </w:t>
      </w:r>
      <w:r w:rsidRPr="00DB24C9">
        <w:rPr>
          <w:rFonts w:ascii="Tahoma" w:hAnsi="Tahoma" w:cs="Tahoma"/>
          <w:spacing w:val="-6"/>
          <w:sz w:val="20"/>
        </w:rPr>
        <w:t>para la emisión de la Orden de Compra el postor ganador de la Buena Pro deberá:</w:t>
      </w:r>
    </w:p>
    <w:p w:rsidR="00357612" w:rsidRPr="00DB24C9" w:rsidRDefault="00357612" w:rsidP="00357612">
      <w:pPr>
        <w:numPr>
          <w:ilvl w:val="0"/>
          <w:numId w:val="7"/>
        </w:numPr>
        <w:spacing w:after="120"/>
        <w:ind w:left="1305" w:right="-40" w:hanging="403"/>
        <w:jc w:val="both"/>
        <w:rPr>
          <w:rFonts w:ascii="Tahoma" w:hAnsi="Tahoma" w:cs="Tahoma"/>
          <w:spacing w:val="-6"/>
          <w:sz w:val="20"/>
          <w:szCs w:val="20"/>
          <w:lang w:val="es-ES_tradnl"/>
        </w:rPr>
      </w:pPr>
      <w:r w:rsidRPr="00DB24C9">
        <w:rPr>
          <w:rFonts w:ascii="Tahoma" w:hAnsi="Tahoma" w:cs="Tahoma"/>
          <w:spacing w:val="-6"/>
          <w:sz w:val="20"/>
          <w:szCs w:val="20"/>
        </w:rPr>
        <w:t>Contar</w:t>
      </w:r>
      <w:r w:rsidRPr="00DB24C9">
        <w:rPr>
          <w:rFonts w:ascii="Tahoma" w:hAnsi="Tahoma" w:cs="Tahoma"/>
          <w:spacing w:val="-6"/>
          <w:sz w:val="20"/>
          <w:szCs w:val="20"/>
          <w:lang w:val="es-ES_tradnl"/>
        </w:rPr>
        <w:t xml:space="preserve"> con inscripción vigente en el Registro Nacional de Proveedores que administra el OSCE para el rubro de bienes.</w:t>
      </w:r>
    </w:p>
    <w:p w:rsidR="00357612" w:rsidRPr="00DB24C9" w:rsidRDefault="00357612" w:rsidP="00357612">
      <w:pPr>
        <w:numPr>
          <w:ilvl w:val="0"/>
          <w:numId w:val="7"/>
        </w:numPr>
        <w:spacing w:after="120"/>
        <w:ind w:left="1305" w:right="-40" w:hanging="403"/>
        <w:jc w:val="both"/>
        <w:rPr>
          <w:rFonts w:ascii="Tahoma" w:hAnsi="Tahoma" w:cs="Tahoma"/>
          <w:spacing w:val="-6"/>
          <w:sz w:val="20"/>
          <w:szCs w:val="20"/>
        </w:rPr>
      </w:pPr>
      <w:r w:rsidRPr="00DB24C9">
        <w:rPr>
          <w:rFonts w:ascii="Tahoma" w:hAnsi="Tahoma" w:cs="Tahoma"/>
          <w:spacing w:val="-6"/>
          <w:sz w:val="20"/>
          <w:szCs w:val="20"/>
        </w:rPr>
        <w:t>Presentar la Constancia de No Encontrarse Inhabilitado para Contratar con el Estado, emitida por el OSCE.</w:t>
      </w:r>
    </w:p>
    <w:p w:rsidR="00357612" w:rsidRPr="00DB24C9" w:rsidRDefault="00357612" w:rsidP="00357612">
      <w:pPr>
        <w:pStyle w:val="Prrafodelista"/>
        <w:widowControl/>
        <w:suppressAutoHyphens w:val="0"/>
        <w:autoSpaceDE w:val="0"/>
        <w:autoSpaceDN w:val="0"/>
        <w:adjustRightInd w:val="0"/>
        <w:spacing w:after="200"/>
        <w:ind w:left="567"/>
        <w:contextualSpacing/>
        <w:jc w:val="both"/>
        <w:rPr>
          <w:rFonts w:ascii="Tahoma" w:hAnsi="Tahoma" w:cs="Tahoma"/>
          <w:b/>
          <w:sz w:val="20"/>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hAnsi="Tahoma" w:cs="Tahoma"/>
          <w:b/>
          <w:sz w:val="20"/>
        </w:rPr>
      </w:pPr>
      <w:r w:rsidRPr="00DB24C9">
        <w:rPr>
          <w:rFonts w:ascii="Tahoma" w:hAnsi="Tahoma" w:cs="Tahoma"/>
          <w:spacing w:val="2"/>
          <w:sz w:val="20"/>
        </w:rPr>
        <w:t xml:space="preserve">Asimismo, conforme lo indicado en el numeral 15.2 de la Bases, dentro de los cinco (05) días hábiles de consentida la Buena Pro, PETROPERU deberá citar al postor ganador de la Buena Pro otorgándole un plazo de tres (03) días hábiles para entregar los documentos indicados en el numeral precedente, de ser el caso. Este plazo podrá ser ampliado en tres (03) días hábiles. </w:t>
      </w:r>
    </w:p>
    <w:p w:rsidR="00357612" w:rsidRPr="00DB24C9" w:rsidRDefault="00357612" w:rsidP="00357612">
      <w:pPr>
        <w:pStyle w:val="Prrafodelista"/>
        <w:widowControl/>
        <w:suppressAutoHyphens w:val="0"/>
        <w:autoSpaceDE w:val="0"/>
        <w:autoSpaceDN w:val="0"/>
        <w:adjustRightInd w:val="0"/>
        <w:spacing w:after="200"/>
        <w:ind w:left="567"/>
        <w:contextualSpacing/>
        <w:jc w:val="both"/>
        <w:rPr>
          <w:rFonts w:ascii="Tahoma" w:hAnsi="Tahoma" w:cs="Tahoma"/>
          <w:b/>
          <w:sz w:val="20"/>
        </w:rPr>
      </w:pPr>
    </w:p>
    <w:p w:rsidR="00357612" w:rsidRPr="00DB24C9" w:rsidRDefault="00357612" w:rsidP="00357612">
      <w:pPr>
        <w:pStyle w:val="Prrafodelista"/>
        <w:widowControl/>
        <w:suppressAutoHyphens w:val="0"/>
        <w:autoSpaceDE w:val="0"/>
        <w:autoSpaceDN w:val="0"/>
        <w:adjustRightInd w:val="0"/>
        <w:spacing w:after="200"/>
        <w:ind w:left="567"/>
        <w:contextualSpacing/>
        <w:jc w:val="both"/>
        <w:rPr>
          <w:rFonts w:ascii="Tahoma" w:hAnsi="Tahoma" w:cs="Tahoma"/>
          <w:b/>
          <w:sz w:val="20"/>
        </w:rPr>
      </w:pPr>
      <w:r w:rsidRPr="00DB24C9">
        <w:rPr>
          <w:rFonts w:ascii="Tahoma" w:hAnsi="Tahoma" w:cs="Tahoma"/>
          <w:spacing w:val="2"/>
          <w:sz w:val="20"/>
        </w:rPr>
        <w:t>El incumplimiento por parte del postor ganador de la Buena Pro de lo estipulado en el numeral anterior, en el plazo establecido, originará la pérdida de la Buena Pro, procediéndose a consignar este hecho en la Base de Datos de Proveedores Calificados de PETROPERU, aplicándose la sanción que corresponda según Reglamento de Gestión de Base de Datos de Proveedores Calificados de PETROPERU, informándose al OSCE para las acciones pertinentes.</w:t>
      </w:r>
    </w:p>
    <w:p w:rsidR="00357612" w:rsidRPr="00DB24C9" w:rsidRDefault="00357612" w:rsidP="00357612">
      <w:pPr>
        <w:pStyle w:val="Prrafodelista"/>
        <w:rPr>
          <w:rFonts w:ascii="Tahoma" w:hAnsi="Tahoma" w:cs="Tahoma"/>
          <w:b/>
          <w:sz w:val="20"/>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eastAsiaTheme="minorHAnsi" w:hAnsi="Tahoma" w:cs="Tahoma"/>
          <w:color w:val="000000"/>
          <w:sz w:val="20"/>
          <w:lang w:eastAsia="en-US"/>
        </w:rPr>
      </w:pPr>
      <w:r w:rsidRPr="00DB24C9">
        <w:rPr>
          <w:rFonts w:ascii="Tahoma" w:eastAsiaTheme="minorHAnsi" w:hAnsi="Tahoma" w:cs="Tahoma"/>
          <w:color w:val="000000"/>
          <w:sz w:val="20"/>
          <w:lang w:eastAsia="en-US"/>
        </w:rPr>
        <w:t>De la revisión de los antecedentes administrativos, se aprecia que el 09 de junio del 2010, se otorgó la buena pro al Postor siendo que dichos resultados fueron publicados en el SEACE en la misma fecha, es decir, se entendió notificado el día 10 de junio de 2010, y siendo que el consentimiento de la Buena Pro se produce a los 3 días de su notificación, ésta quedó consentida el 15 de junio de 2010.</w:t>
      </w:r>
    </w:p>
    <w:p w:rsidR="00357612" w:rsidRPr="00DB24C9" w:rsidRDefault="00357612" w:rsidP="00357612">
      <w:pPr>
        <w:pStyle w:val="Prrafodelista"/>
        <w:widowControl/>
        <w:suppressAutoHyphens w:val="0"/>
        <w:autoSpaceDE w:val="0"/>
        <w:autoSpaceDN w:val="0"/>
        <w:adjustRightInd w:val="0"/>
        <w:spacing w:after="200"/>
        <w:ind w:left="567"/>
        <w:contextualSpacing/>
        <w:jc w:val="both"/>
        <w:rPr>
          <w:rFonts w:ascii="Tahoma" w:eastAsiaTheme="minorHAnsi" w:hAnsi="Tahoma" w:cs="Tahoma"/>
          <w:color w:val="000000"/>
          <w:sz w:val="20"/>
          <w:lang w:eastAsia="en-US"/>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eastAsiaTheme="minorHAnsi" w:hAnsi="Tahoma" w:cs="Tahoma"/>
          <w:color w:val="000000"/>
          <w:sz w:val="20"/>
          <w:lang w:eastAsia="en-US"/>
        </w:rPr>
      </w:pPr>
      <w:r w:rsidRPr="00DB24C9">
        <w:rPr>
          <w:rFonts w:ascii="Tahoma" w:eastAsiaTheme="minorHAnsi" w:hAnsi="Tahoma" w:cs="Tahoma"/>
          <w:color w:val="000000"/>
          <w:sz w:val="20"/>
          <w:lang w:eastAsia="en-US"/>
        </w:rPr>
        <w:t xml:space="preserve">A partir de dicha fecha, la Entidad tenía cinco (5) días para citar al ganador de la Buena Pro a fin que le remitiera los documentos para la emisión de la Orden de Compra respectiva, es por ello, que el 16 de junio de 2010, la Entidad remitió al Postor la Carta GLOG-UA-1706-2010 solicitándole la Constancia de No Encontrarse Inhabilitado para Contratar con el Estado, otorgándole un plazo de 03 días hábiles para su remisión a fin de formalizar la Orden de Compra. </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autoSpaceDE w:val="0"/>
        <w:autoSpaceDN w:val="0"/>
        <w:adjustRightInd w:val="0"/>
        <w:spacing w:after="200"/>
        <w:ind w:left="567" w:hanging="567"/>
        <w:contextualSpacing/>
        <w:jc w:val="both"/>
        <w:rPr>
          <w:rFonts w:ascii="Tahoma" w:hAnsi="Tahoma" w:cs="Tahoma"/>
          <w:b/>
          <w:sz w:val="20"/>
        </w:rPr>
      </w:pPr>
      <w:r w:rsidRPr="00DB24C9">
        <w:rPr>
          <w:rFonts w:ascii="Tahoma" w:hAnsi="Tahoma" w:cs="Tahoma"/>
          <w:sz w:val="20"/>
        </w:rPr>
        <w:t>Asimismo, de la revisión de la Carta GLOG-UA-1706-2010</w:t>
      </w:r>
      <w:r w:rsidRPr="00DB24C9">
        <w:rPr>
          <w:rStyle w:val="Refdenotaalpie"/>
          <w:rFonts w:ascii="Tahoma" w:hAnsi="Tahoma" w:cs="Tahoma"/>
          <w:sz w:val="20"/>
        </w:rPr>
        <w:footnoteReference w:id="7"/>
      </w:r>
      <w:r w:rsidRPr="00DB24C9">
        <w:rPr>
          <w:rFonts w:ascii="Tahoma" w:hAnsi="Tahoma" w:cs="Tahoma"/>
          <w:sz w:val="20"/>
        </w:rPr>
        <w:t xml:space="preserve"> de fecha 16 de junio de 2010 remitida por Petroperú al Postor se advierte que ésta fue remitida vía facsímil y correo electrónico, siendo que el Postor hizo acuso de su recibo mediante la Carta CNM-025-2010 de fecha 21 de junio de 2010, mediante la cual puso en conocimiento de la Entidad que no entregaría los documentos solicitados. </w:t>
      </w:r>
      <w:r w:rsidRPr="00DB24C9">
        <w:rPr>
          <w:rFonts w:ascii="Tahoma" w:eastAsiaTheme="minorHAnsi" w:hAnsi="Tahoma" w:cs="Tahoma"/>
          <w:color w:val="000000"/>
          <w:sz w:val="20"/>
          <w:lang w:eastAsia="en-US"/>
        </w:rPr>
        <w:t>Cabe señalar, que el Postor mediante su “Declaración Jurada del Postor” autorizó a la Entidad para que las notificaciones dirigidas a él fueran por medio de facsímil y/o correo electrónico. En ese sentido, se observa que la Entidad siguió los plazos establecidos para el procedimiento de notificación.</w:t>
      </w:r>
    </w:p>
    <w:p w:rsidR="00357612" w:rsidRPr="00DB24C9" w:rsidRDefault="00357612" w:rsidP="00357612">
      <w:pPr>
        <w:pStyle w:val="Prrafodelista"/>
        <w:rPr>
          <w:rFonts w:ascii="Tahoma" w:hAnsi="Tahoma" w:cs="Tahoma"/>
          <w:b/>
          <w:sz w:val="20"/>
        </w:rPr>
      </w:pPr>
    </w:p>
    <w:p w:rsidR="00357612" w:rsidRPr="00DB24C9" w:rsidRDefault="00357612" w:rsidP="00357612">
      <w:pPr>
        <w:pStyle w:val="Prrafodelista"/>
        <w:widowControl/>
        <w:suppressAutoHyphens w:val="0"/>
        <w:autoSpaceDE w:val="0"/>
        <w:autoSpaceDN w:val="0"/>
        <w:adjustRightInd w:val="0"/>
        <w:spacing w:after="200"/>
        <w:ind w:left="567"/>
        <w:contextualSpacing/>
        <w:jc w:val="both"/>
        <w:rPr>
          <w:rFonts w:ascii="Tahoma" w:hAnsi="Tahoma" w:cs="Tahoma"/>
          <w:b/>
          <w:i/>
          <w:sz w:val="20"/>
        </w:rPr>
      </w:pPr>
      <w:r w:rsidRPr="00DB24C9">
        <w:rPr>
          <w:rFonts w:ascii="Tahoma" w:hAnsi="Tahoma" w:cs="Tahoma"/>
          <w:b/>
          <w:i/>
          <w:sz w:val="20"/>
        </w:rPr>
        <w:t xml:space="preserve">Respecto a la no suscripción </w:t>
      </w:r>
      <w:r w:rsidRPr="00DB24C9">
        <w:rPr>
          <w:rFonts w:ascii="Tahoma" w:hAnsi="Tahoma" w:cs="Tahoma"/>
          <w:b/>
          <w:i/>
          <w:sz w:val="20"/>
          <w:lang w:eastAsia="es-PE"/>
        </w:rPr>
        <w:t xml:space="preserve">de la </w:t>
      </w:r>
      <w:r w:rsidRPr="00DB24C9">
        <w:rPr>
          <w:rFonts w:ascii="Tahoma" w:hAnsi="Tahoma" w:cs="Tahoma"/>
          <w:b/>
          <w:i/>
          <w:sz w:val="20"/>
        </w:rPr>
        <w:t>Orden de Compra</w:t>
      </w:r>
    </w:p>
    <w:p w:rsidR="00357612" w:rsidRPr="00DB24C9" w:rsidRDefault="00357612" w:rsidP="00357612">
      <w:pPr>
        <w:pStyle w:val="Prrafodelista"/>
        <w:widowControl/>
        <w:suppressAutoHyphens w:val="0"/>
        <w:autoSpaceDE w:val="0"/>
        <w:autoSpaceDN w:val="0"/>
        <w:adjustRightInd w:val="0"/>
        <w:spacing w:after="200"/>
        <w:ind w:left="567"/>
        <w:contextualSpacing/>
        <w:jc w:val="both"/>
        <w:rPr>
          <w:rFonts w:ascii="Tahoma" w:hAnsi="Tahoma" w:cs="Tahoma"/>
          <w:b/>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Ahora bien, la causal de infracción imputada al Postor, está referida a la no suscripción del contrato de manera injustificada a pesar de resultar ganador del otorgamiento de la Buena Pro, por lo tanto, antes de atribuir responsabilidad administrativa, previamente este Colegiado debe analizar los hechos materia de denuncia, a fin de verificar si la no suscripción del contrato se dio por razones justificadas, toda vez que dicha situación acarrearía la liberación del Postor de responsabilidad administrativa.</w:t>
      </w:r>
    </w:p>
    <w:p w:rsidR="00357612" w:rsidRPr="00DB24C9" w:rsidRDefault="00357612" w:rsidP="00357612">
      <w:pPr>
        <w:pStyle w:val="Prrafodelista"/>
        <w:widowControl/>
        <w:suppressAutoHyphens w:val="0"/>
        <w:spacing w:after="200"/>
        <w:ind w:left="567"/>
        <w:contextualSpacing/>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En relación a lo anterior, debe señalarse que el postor adjudicatario de la Buena Pro de un proceso de selección, tiene como obligación mantener su propuesta hasta la suscripción del contrato, constituyendo dicha obligación una carga impuesta al </w:t>
      </w:r>
      <w:r w:rsidRPr="00DB24C9">
        <w:rPr>
          <w:rFonts w:ascii="Tahoma" w:hAnsi="Tahoma" w:cs="Tahoma"/>
          <w:sz w:val="20"/>
        </w:rPr>
        <w:lastRenderedPageBreak/>
        <w:t>administrado en virtud de los vínculos jurídicos que lo ligan con el Estado, que a decir de Roberto Dromi</w:t>
      </w:r>
      <w:r w:rsidRPr="00DB24C9">
        <w:rPr>
          <w:rStyle w:val="Refdenotaalpie"/>
          <w:rFonts w:ascii="Tahoma" w:hAnsi="Tahoma"/>
          <w:sz w:val="20"/>
        </w:rPr>
        <w:footnoteReference w:id="8"/>
      </w:r>
      <w:r w:rsidRPr="00DB24C9">
        <w:rPr>
          <w:rFonts w:ascii="Tahoma" w:hAnsi="Tahoma" w:cs="Tahoma"/>
          <w:sz w:val="20"/>
        </w:rPr>
        <w:t xml:space="preserve"> se funda, entre otras razones jurídicas, en la significación política y social del interés público afectado y en la confianza y responsabilidad del licitante, que excluyen el arbitrio o la inestabilidad en la promesa formulada por el particular oferente.</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En efecto, lo señalado anteriormente, se verifica en nuestra normativa de contrataciones, toda vez que el artículo 42 del Reglamento establece como un documento de presentación obligatoria la Declaración Jurada Simple en la cual el postor se comprometa, entre otros, a mantener su oferta durante el proceso de selección y a suscribir el contrato en caso de resultar favorecido con la Buena Pro.</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Asimismo, el artículo 137 del Reglamento establece que una vez que la Buena Pro ha quedado consentida o administrativamente firme, tanto la Entidad como el o los postores ganadores, están obligados a suscribir el o los contratos respectivos.</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Respecto a todo ello, el Postor en su escrito de descargos ha señalado que ha cometido un error al momento de presentar su propuesta económica, toda vez que:</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8"/>
        </w:numPr>
        <w:suppressAutoHyphens w:val="0"/>
        <w:contextualSpacing/>
        <w:jc w:val="both"/>
        <w:rPr>
          <w:rFonts w:ascii="Tahoma" w:hAnsi="Tahoma" w:cs="Tahoma"/>
          <w:sz w:val="20"/>
        </w:rPr>
      </w:pPr>
      <w:r w:rsidRPr="00DB24C9">
        <w:rPr>
          <w:rFonts w:ascii="Tahoma" w:hAnsi="Tahoma" w:cs="Tahoma"/>
          <w:sz w:val="20"/>
        </w:rPr>
        <w:t>El valor referencial del proceso de Competencia Menor Nº 065-2010/OFP/PETROPERU, era reservado, es decir no existía ninguna información por parte de la Entidad respecto del estudio de las posibilidades del mercado. Vale decir, no existían precios referenciales sobre los cuales los postores pudieran plantear su propuesta económica.</w:t>
      </w:r>
    </w:p>
    <w:p w:rsidR="00357612" w:rsidRPr="00DB24C9" w:rsidRDefault="00357612" w:rsidP="00357612">
      <w:pPr>
        <w:pStyle w:val="Prrafodelista"/>
        <w:ind w:left="1002"/>
        <w:contextualSpacing/>
        <w:jc w:val="both"/>
        <w:rPr>
          <w:rFonts w:ascii="Tahoma" w:hAnsi="Tahoma" w:cs="Tahoma"/>
          <w:sz w:val="20"/>
        </w:rPr>
      </w:pPr>
    </w:p>
    <w:p w:rsidR="00357612" w:rsidRPr="00DB24C9" w:rsidRDefault="00357612" w:rsidP="00357612">
      <w:pPr>
        <w:pStyle w:val="Prrafodelista"/>
        <w:widowControl/>
        <w:numPr>
          <w:ilvl w:val="0"/>
          <w:numId w:val="8"/>
        </w:numPr>
        <w:suppressAutoHyphens w:val="0"/>
        <w:contextualSpacing/>
        <w:jc w:val="both"/>
        <w:rPr>
          <w:rFonts w:ascii="Tahoma" w:hAnsi="Tahoma" w:cs="Tahoma"/>
          <w:sz w:val="20"/>
        </w:rPr>
      </w:pPr>
      <w:r w:rsidRPr="00DB24C9">
        <w:rPr>
          <w:rFonts w:ascii="Tahoma" w:hAnsi="Tahoma" w:cs="Tahoma"/>
          <w:sz w:val="20"/>
        </w:rPr>
        <w:t>Con fecha 01 de junio de 2010, vía correo electrónico, su distribuidor DRYWALLTEC SAC, le alcanza los precios del producto requerido según el siguiente detalle:</w:t>
      </w:r>
    </w:p>
    <w:p w:rsidR="00357612" w:rsidRPr="00DB24C9" w:rsidRDefault="00357612" w:rsidP="00357612">
      <w:pPr>
        <w:pStyle w:val="Prrafodelista"/>
        <w:ind w:left="1002"/>
        <w:contextualSpacing/>
        <w:jc w:val="both"/>
        <w:rPr>
          <w:rFonts w:ascii="Tahoma" w:hAnsi="Tahoma" w:cs="Tahoma"/>
          <w:sz w:val="20"/>
        </w:rPr>
      </w:pPr>
    </w:p>
    <w:tbl>
      <w:tblPr>
        <w:tblStyle w:val="Tablaconcuadrcula"/>
        <w:tblW w:w="0" w:type="auto"/>
        <w:tblInd w:w="1101" w:type="dxa"/>
        <w:tblLook w:val="04A0"/>
      </w:tblPr>
      <w:tblGrid>
        <w:gridCol w:w="3543"/>
        <w:gridCol w:w="1701"/>
        <w:gridCol w:w="2375"/>
      </w:tblGrid>
      <w:tr w:rsidR="00357612" w:rsidRPr="00DB24C9" w:rsidTr="00496E66">
        <w:tc>
          <w:tcPr>
            <w:tcW w:w="3543" w:type="dxa"/>
          </w:tcPr>
          <w:p w:rsidR="00357612" w:rsidRPr="00DB24C9" w:rsidRDefault="00357612" w:rsidP="00496E66">
            <w:pPr>
              <w:pStyle w:val="Prrafodelista"/>
              <w:ind w:left="0"/>
              <w:contextualSpacing/>
              <w:jc w:val="center"/>
              <w:rPr>
                <w:rFonts w:ascii="Tahoma" w:hAnsi="Tahoma" w:cs="Tahoma"/>
                <w:sz w:val="20"/>
              </w:rPr>
            </w:pPr>
            <w:r w:rsidRPr="00DB24C9">
              <w:rPr>
                <w:rFonts w:ascii="Tahoma" w:hAnsi="Tahoma" w:cs="Tahoma"/>
                <w:sz w:val="20"/>
              </w:rPr>
              <w:t>PRODUCTO</w:t>
            </w:r>
          </w:p>
        </w:tc>
        <w:tc>
          <w:tcPr>
            <w:tcW w:w="1701" w:type="dxa"/>
          </w:tcPr>
          <w:p w:rsidR="00357612" w:rsidRPr="00DB24C9" w:rsidRDefault="00357612" w:rsidP="00496E66">
            <w:pPr>
              <w:pStyle w:val="Prrafodelista"/>
              <w:ind w:left="0"/>
              <w:contextualSpacing/>
              <w:jc w:val="center"/>
              <w:rPr>
                <w:rFonts w:ascii="Tahoma" w:hAnsi="Tahoma" w:cs="Tahoma"/>
                <w:sz w:val="20"/>
              </w:rPr>
            </w:pPr>
            <w:r w:rsidRPr="00DB24C9">
              <w:rPr>
                <w:rFonts w:ascii="Tahoma" w:hAnsi="Tahoma" w:cs="Tahoma"/>
                <w:sz w:val="20"/>
              </w:rPr>
              <w:t>CANTIDAD</w:t>
            </w:r>
          </w:p>
        </w:tc>
        <w:tc>
          <w:tcPr>
            <w:tcW w:w="2375" w:type="dxa"/>
          </w:tcPr>
          <w:p w:rsidR="00357612" w:rsidRPr="00DB24C9" w:rsidRDefault="00357612" w:rsidP="00496E66">
            <w:pPr>
              <w:pStyle w:val="Prrafodelista"/>
              <w:ind w:left="0"/>
              <w:contextualSpacing/>
              <w:jc w:val="center"/>
              <w:rPr>
                <w:rFonts w:ascii="Tahoma" w:hAnsi="Tahoma" w:cs="Tahoma"/>
                <w:sz w:val="20"/>
              </w:rPr>
            </w:pPr>
            <w:r w:rsidRPr="00DB24C9">
              <w:rPr>
                <w:rFonts w:ascii="Tahoma" w:hAnsi="Tahoma" w:cs="Tahoma"/>
                <w:sz w:val="20"/>
              </w:rPr>
              <w:t>IMPORTE</w:t>
            </w:r>
          </w:p>
        </w:tc>
      </w:tr>
      <w:tr w:rsidR="00357612" w:rsidRPr="00DB24C9" w:rsidTr="00496E66">
        <w:tc>
          <w:tcPr>
            <w:tcW w:w="3543" w:type="dxa"/>
          </w:tcPr>
          <w:p w:rsidR="00357612" w:rsidRPr="00DB24C9" w:rsidRDefault="00357612" w:rsidP="00496E66">
            <w:pPr>
              <w:pStyle w:val="Prrafodelista"/>
              <w:ind w:left="0"/>
              <w:contextualSpacing/>
              <w:jc w:val="both"/>
              <w:rPr>
                <w:rFonts w:ascii="Tahoma" w:hAnsi="Tahoma" w:cs="Tahoma"/>
                <w:sz w:val="20"/>
                <w:lang w:val="en-US"/>
              </w:rPr>
            </w:pPr>
            <w:r w:rsidRPr="00DB24C9">
              <w:rPr>
                <w:rFonts w:ascii="Tahoma" w:hAnsi="Tahoma" w:cs="Tahoma"/>
                <w:sz w:val="20"/>
                <w:lang w:val="en-US"/>
              </w:rPr>
              <w:t>Baldosa Fine Fissured 2X4X5/8 BR</w:t>
            </w:r>
          </w:p>
        </w:tc>
        <w:tc>
          <w:tcPr>
            <w:tcW w:w="1701" w:type="dxa"/>
          </w:tcPr>
          <w:p w:rsidR="00357612" w:rsidRPr="00DB24C9" w:rsidRDefault="00357612" w:rsidP="00496E66">
            <w:pPr>
              <w:pStyle w:val="Prrafodelista"/>
              <w:ind w:left="0"/>
              <w:contextualSpacing/>
              <w:jc w:val="both"/>
              <w:rPr>
                <w:rFonts w:ascii="Tahoma" w:hAnsi="Tahoma" w:cs="Tahoma"/>
                <w:sz w:val="20"/>
                <w:lang w:val="en-US"/>
              </w:rPr>
            </w:pPr>
            <w:r w:rsidRPr="00DB24C9">
              <w:rPr>
                <w:rFonts w:ascii="Tahoma" w:hAnsi="Tahoma" w:cs="Tahoma"/>
                <w:sz w:val="20"/>
                <w:lang w:val="en-US"/>
              </w:rPr>
              <w:t>1</w:t>
            </w:r>
          </w:p>
        </w:tc>
        <w:tc>
          <w:tcPr>
            <w:tcW w:w="2375" w:type="dxa"/>
          </w:tcPr>
          <w:p w:rsidR="00357612" w:rsidRPr="00DB24C9" w:rsidRDefault="00357612" w:rsidP="00496E66">
            <w:pPr>
              <w:pStyle w:val="Prrafodelista"/>
              <w:ind w:left="0"/>
              <w:contextualSpacing/>
              <w:jc w:val="both"/>
              <w:rPr>
                <w:rFonts w:ascii="Tahoma" w:hAnsi="Tahoma" w:cs="Tahoma"/>
                <w:sz w:val="20"/>
                <w:lang w:val="en-US"/>
              </w:rPr>
            </w:pPr>
            <w:r w:rsidRPr="00DB24C9">
              <w:rPr>
                <w:rFonts w:ascii="Tahoma" w:hAnsi="Tahoma" w:cs="Tahoma"/>
                <w:sz w:val="20"/>
                <w:lang w:val="en-US"/>
              </w:rPr>
              <w:t>S/. 11.5839+IGV</w:t>
            </w:r>
          </w:p>
        </w:tc>
      </w:tr>
      <w:tr w:rsidR="00357612" w:rsidRPr="00DB24C9" w:rsidTr="00496E66">
        <w:tc>
          <w:tcPr>
            <w:tcW w:w="3543" w:type="dxa"/>
          </w:tcPr>
          <w:p w:rsidR="00357612" w:rsidRPr="00DB24C9" w:rsidRDefault="00357612" w:rsidP="00496E66">
            <w:pPr>
              <w:pStyle w:val="Prrafodelista"/>
              <w:ind w:left="0"/>
              <w:contextualSpacing/>
              <w:jc w:val="both"/>
              <w:rPr>
                <w:rFonts w:ascii="Tahoma" w:hAnsi="Tahoma" w:cs="Tahoma"/>
                <w:sz w:val="20"/>
              </w:rPr>
            </w:pPr>
            <w:r w:rsidRPr="00DB24C9">
              <w:rPr>
                <w:rFonts w:ascii="Tahoma" w:hAnsi="Tahoma" w:cs="Tahoma"/>
                <w:sz w:val="20"/>
              </w:rPr>
              <w:t>Baldosa Sand Micro 2X4X5/8 BR</w:t>
            </w:r>
          </w:p>
        </w:tc>
        <w:tc>
          <w:tcPr>
            <w:tcW w:w="1701" w:type="dxa"/>
          </w:tcPr>
          <w:p w:rsidR="00357612" w:rsidRPr="00DB24C9" w:rsidRDefault="00357612" w:rsidP="00496E66">
            <w:pPr>
              <w:pStyle w:val="Prrafodelista"/>
              <w:ind w:left="0"/>
              <w:contextualSpacing/>
              <w:jc w:val="both"/>
              <w:rPr>
                <w:rFonts w:ascii="Tahoma" w:hAnsi="Tahoma" w:cs="Tahoma"/>
                <w:sz w:val="20"/>
              </w:rPr>
            </w:pPr>
            <w:r w:rsidRPr="00DB24C9">
              <w:rPr>
                <w:rFonts w:ascii="Tahoma" w:hAnsi="Tahoma" w:cs="Tahoma"/>
                <w:sz w:val="20"/>
              </w:rPr>
              <w:t>1</w:t>
            </w:r>
          </w:p>
        </w:tc>
        <w:tc>
          <w:tcPr>
            <w:tcW w:w="2375" w:type="dxa"/>
          </w:tcPr>
          <w:p w:rsidR="00357612" w:rsidRPr="00DB24C9" w:rsidRDefault="00357612" w:rsidP="00496E66">
            <w:pPr>
              <w:pStyle w:val="Prrafodelista"/>
              <w:ind w:left="0"/>
              <w:contextualSpacing/>
              <w:jc w:val="both"/>
              <w:rPr>
                <w:rFonts w:ascii="Tahoma" w:hAnsi="Tahoma" w:cs="Tahoma"/>
                <w:b/>
                <w:sz w:val="20"/>
              </w:rPr>
            </w:pPr>
            <w:r w:rsidRPr="00DB24C9">
              <w:rPr>
                <w:rFonts w:ascii="Tahoma" w:hAnsi="Tahoma" w:cs="Tahoma"/>
                <w:b/>
                <w:sz w:val="20"/>
              </w:rPr>
              <w:t>S/. 7.649+IGV</w:t>
            </w:r>
          </w:p>
        </w:tc>
      </w:tr>
    </w:tbl>
    <w:p w:rsidR="00357612" w:rsidRPr="00DB24C9" w:rsidRDefault="00357612" w:rsidP="00357612">
      <w:pPr>
        <w:pStyle w:val="Prrafodelista"/>
        <w:ind w:left="1002"/>
        <w:contextualSpacing/>
        <w:jc w:val="both"/>
        <w:rPr>
          <w:rFonts w:ascii="Tahoma" w:hAnsi="Tahoma" w:cs="Tahoma"/>
          <w:b/>
          <w:sz w:val="20"/>
        </w:rPr>
      </w:pPr>
    </w:p>
    <w:p w:rsidR="00357612" w:rsidRPr="00DB24C9" w:rsidRDefault="00357612" w:rsidP="00357612">
      <w:pPr>
        <w:pStyle w:val="Prrafodelista"/>
        <w:widowControl/>
        <w:numPr>
          <w:ilvl w:val="0"/>
          <w:numId w:val="8"/>
        </w:numPr>
        <w:suppressAutoHyphens w:val="0"/>
        <w:contextualSpacing/>
        <w:jc w:val="both"/>
        <w:rPr>
          <w:rFonts w:ascii="Tahoma" w:hAnsi="Tahoma" w:cs="Tahoma"/>
          <w:sz w:val="20"/>
        </w:rPr>
      </w:pPr>
      <w:r w:rsidRPr="00DB24C9">
        <w:rPr>
          <w:rFonts w:ascii="Tahoma" w:hAnsi="Tahoma" w:cs="Tahoma"/>
          <w:sz w:val="20"/>
        </w:rPr>
        <w:t xml:space="preserve">Con fecha 07 de junio de 2010, presentaron su Propuesta Económica por un monto total de S/.48 000.00 incluido el IGV para una cantidad total de 4000 baldosas marca Sand Micro. </w:t>
      </w:r>
    </w:p>
    <w:p w:rsidR="00357612" w:rsidRPr="00DB24C9" w:rsidRDefault="00357612" w:rsidP="00357612">
      <w:pPr>
        <w:pStyle w:val="Prrafodelista"/>
        <w:ind w:left="1002"/>
        <w:contextualSpacing/>
        <w:jc w:val="both"/>
        <w:rPr>
          <w:rFonts w:ascii="Tahoma" w:hAnsi="Tahoma" w:cs="Tahoma"/>
          <w:sz w:val="20"/>
        </w:rPr>
      </w:pPr>
    </w:p>
    <w:p w:rsidR="00357612" w:rsidRPr="00DB24C9" w:rsidRDefault="00357612" w:rsidP="00357612">
      <w:pPr>
        <w:pStyle w:val="Prrafodelista"/>
        <w:widowControl/>
        <w:numPr>
          <w:ilvl w:val="0"/>
          <w:numId w:val="8"/>
        </w:numPr>
        <w:suppressAutoHyphens w:val="0"/>
        <w:contextualSpacing/>
        <w:jc w:val="both"/>
        <w:rPr>
          <w:rFonts w:ascii="Tahoma" w:hAnsi="Tahoma" w:cs="Tahoma"/>
          <w:sz w:val="20"/>
        </w:rPr>
      </w:pPr>
      <w:r w:rsidRPr="00DB24C9">
        <w:rPr>
          <w:rFonts w:ascii="Tahoma" w:hAnsi="Tahoma" w:cs="Tahoma"/>
          <w:sz w:val="20"/>
        </w:rPr>
        <w:t>Con fecha 09 de junio de 2010 la Entidad le notificó el otorgamiento de la Buena Pro a su favor.</w:t>
      </w:r>
    </w:p>
    <w:p w:rsidR="00357612" w:rsidRPr="00DB24C9" w:rsidRDefault="00357612" w:rsidP="00357612">
      <w:pPr>
        <w:pStyle w:val="Prrafodelista"/>
        <w:ind w:left="1002"/>
        <w:contextualSpacing/>
        <w:jc w:val="both"/>
        <w:rPr>
          <w:rFonts w:ascii="Tahoma" w:hAnsi="Tahoma" w:cs="Tahoma"/>
          <w:sz w:val="20"/>
        </w:rPr>
      </w:pPr>
    </w:p>
    <w:p w:rsidR="00357612" w:rsidRPr="00DB24C9" w:rsidRDefault="00357612" w:rsidP="00357612">
      <w:pPr>
        <w:pStyle w:val="Prrafodelista"/>
        <w:widowControl/>
        <w:numPr>
          <w:ilvl w:val="0"/>
          <w:numId w:val="8"/>
        </w:numPr>
        <w:suppressAutoHyphens w:val="0"/>
        <w:contextualSpacing/>
        <w:jc w:val="both"/>
        <w:rPr>
          <w:rFonts w:ascii="Tahoma" w:hAnsi="Tahoma" w:cs="Tahoma"/>
          <w:sz w:val="20"/>
        </w:rPr>
      </w:pPr>
      <w:r w:rsidRPr="00DB24C9">
        <w:rPr>
          <w:rFonts w:ascii="Tahoma" w:hAnsi="Tahoma" w:cs="Tahoma"/>
          <w:sz w:val="20"/>
        </w:rPr>
        <w:t>Mediante Carta del 10 de junio de 2010, su distribuidor DRYWALLTEC le manifiesta lo siguiente:</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ind w:left="1002"/>
        <w:contextualSpacing/>
        <w:jc w:val="both"/>
        <w:rPr>
          <w:rFonts w:ascii="Tahoma" w:hAnsi="Tahoma" w:cs="Tahoma"/>
          <w:i/>
          <w:sz w:val="20"/>
        </w:rPr>
      </w:pPr>
      <w:r w:rsidRPr="00DB24C9">
        <w:rPr>
          <w:rFonts w:ascii="Tahoma" w:hAnsi="Tahoma" w:cs="Tahoma"/>
          <w:i/>
          <w:sz w:val="20"/>
        </w:rPr>
        <w:t xml:space="preserve">“Por la presente reciban un cordial saludo de DRYWALLTEC, y a su vez presentarles las disculpas del caso, por el error involuntario que se presentó por motivos de querer brindarles un servicio rápido, se brindó el precio equivocado de lo que solicitaron cotizar, Baldosa Sand Micro 2X4X5/8 BR  </w:t>
      </w:r>
      <w:r w:rsidRPr="00DB24C9">
        <w:rPr>
          <w:rFonts w:ascii="Tahoma" w:hAnsi="Tahoma" w:cs="Tahoma"/>
          <w:b/>
          <w:i/>
          <w:sz w:val="20"/>
        </w:rPr>
        <w:t>S/.7.649 soles</w:t>
      </w:r>
      <w:r w:rsidRPr="00DB24C9">
        <w:rPr>
          <w:rFonts w:ascii="Tahoma" w:hAnsi="Tahoma" w:cs="Tahoma"/>
          <w:i/>
          <w:sz w:val="20"/>
        </w:rPr>
        <w:t xml:space="preserve"> + IGV cuando debió ser </w:t>
      </w:r>
      <w:r w:rsidRPr="00DB24C9">
        <w:rPr>
          <w:rFonts w:ascii="Tahoma" w:hAnsi="Tahoma" w:cs="Tahoma"/>
          <w:b/>
          <w:i/>
          <w:sz w:val="20"/>
        </w:rPr>
        <w:t>$ 7.649 dólares</w:t>
      </w:r>
      <w:r w:rsidRPr="00DB24C9">
        <w:rPr>
          <w:rFonts w:ascii="Tahoma" w:hAnsi="Tahoma" w:cs="Tahoma"/>
          <w:i/>
          <w:sz w:val="20"/>
        </w:rPr>
        <w:t xml:space="preserve"> + IGV.</w:t>
      </w:r>
    </w:p>
    <w:p w:rsidR="00357612" w:rsidRPr="00DB24C9" w:rsidRDefault="00357612" w:rsidP="00357612">
      <w:pPr>
        <w:pStyle w:val="Prrafodelista"/>
        <w:ind w:left="1002"/>
        <w:contextualSpacing/>
        <w:jc w:val="both"/>
        <w:rPr>
          <w:rFonts w:ascii="Tahoma" w:hAnsi="Tahoma" w:cs="Tahoma"/>
          <w:i/>
          <w:sz w:val="20"/>
        </w:rPr>
      </w:pPr>
      <w:r w:rsidRPr="00DB24C9">
        <w:rPr>
          <w:rFonts w:ascii="Tahoma" w:hAnsi="Tahoma" w:cs="Tahoma"/>
          <w:i/>
          <w:sz w:val="20"/>
        </w:rPr>
        <w:t>Esperando sepan comprender este involuntario error.</w:t>
      </w:r>
    </w:p>
    <w:p w:rsidR="00357612" w:rsidRPr="00DB24C9" w:rsidRDefault="00357612" w:rsidP="00357612">
      <w:pPr>
        <w:pStyle w:val="Prrafodelista"/>
        <w:ind w:left="1002"/>
        <w:contextualSpacing/>
        <w:jc w:val="both"/>
        <w:rPr>
          <w:rFonts w:ascii="Tahoma" w:hAnsi="Tahoma" w:cs="Tahoma"/>
          <w:i/>
          <w:sz w:val="20"/>
        </w:rPr>
      </w:pPr>
      <w:r w:rsidRPr="00DB24C9">
        <w:rPr>
          <w:rFonts w:ascii="Tahoma" w:hAnsi="Tahoma" w:cs="Tahoma"/>
          <w:i/>
          <w:sz w:val="20"/>
        </w:rPr>
        <w:lastRenderedPageBreak/>
        <w:t>Agradecidos se sirvan dispensar a la presente, estaremos a vuestro servicio.”</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lang w:eastAsia="es-PE"/>
        </w:rPr>
        <w:t>Asimismo, señaló que era la primera vez que se presentaban a un proceso de selección para ese tipo de productos, desconociendo el precio de mercado del mismo, por lo que solicitaron a su proveedor DRYWALLTEC, les diera la cotización respectiva, la misma que posteriormente fue variada por dicho proveedor, al manifestar que por error el precio ofertado fue considerado en soles, siendo que debió ser en dólares, circunstancia que tornaba imposible la ejecución del contrato, toda vez que, el precio planteado en su propuesta económica, por error ajeno a ellos, era totalmente irreal, ya que no cubría ni la mitad del costo de las baldosas.</w:t>
      </w:r>
    </w:p>
    <w:p w:rsidR="00357612" w:rsidRPr="00DB24C9" w:rsidRDefault="00357612" w:rsidP="00357612">
      <w:pPr>
        <w:pStyle w:val="Prrafodelista"/>
        <w:widowControl/>
        <w:suppressAutoHyphens w:val="0"/>
        <w:spacing w:after="200"/>
        <w:ind w:left="567"/>
        <w:contextualSpacing/>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Sobre el particular, de la revisión del Acta de Apertura y Evaluación de Propuesta Económicas Proceso por Competencia Menor Nº CME-00065-2010-OFP/PETROPERU de fecha 08 de junio de 2010, en la cual se consignó la evaluación económica de propuestas, se indicó lo siguiente:</w:t>
      </w:r>
    </w:p>
    <w:tbl>
      <w:tblPr>
        <w:tblStyle w:val="Tablaconcuadrcula"/>
        <w:tblW w:w="0" w:type="auto"/>
        <w:tblInd w:w="675" w:type="dxa"/>
        <w:tblLook w:val="04A0"/>
      </w:tblPr>
      <w:tblGrid>
        <w:gridCol w:w="4536"/>
        <w:gridCol w:w="1418"/>
        <w:gridCol w:w="1984"/>
      </w:tblGrid>
      <w:tr w:rsidR="00357612" w:rsidRPr="00DB24C9" w:rsidTr="00496E66">
        <w:tc>
          <w:tcPr>
            <w:tcW w:w="4536" w:type="dxa"/>
            <w:shd w:val="clear" w:color="auto" w:fill="BFBFBF" w:themeFill="background1" w:themeFillShade="BF"/>
          </w:tcPr>
          <w:p w:rsidR="00357612" w:rsidRPr="00DB24C9" w:rsidRDefault="00357612" w:rsidP="00496E66">
            <w:pPr>
              <w:jc w:val="center"/>
              <w:rPr>
                <w:rFonts w:ascii="Tahoma" w:hAnsi="Tahoma" w:cs="Tahoma"/>
                <w:sz w:val="20"/>
                <w:szCs w:val="20"/>
                <w:highlight w:val="lightGray"/>
              </w:rPr>
            </w:pPr>
            <w:r w:rsidRPr="00DB24C9">
              <w:rPr>
                <w:rFonts w:ascii="Tahoma" w:hAnsi="Tahoma" w:cs="Tahoma"/>
                <w:sz w:val="20"/>
                <w:szCs w:val="20"/>
                <w:highlight w:val="lightGray"/>
              </w:rPr>
              <w:t>Postor</w:t>
            </w:r>
          </w:p>
        </w:tc>
        <w:tc>
          <w:tcPr>
            <w:tcW w:w="1418" w:type="dxa"/>
            <w:shd w:val="clear" w:color="auto" w:fill="BFBFBF" w:themeFill="background1" w:themeFillShade="BF"/>
          </w:tcPr>
          <w:p w:rsidR="00357612" w:rsidRPr="00DB24C9" w:rsidRDefault="00357612" w:rsidP="00496E66">
            <w:pPr>
              <w:jc w:val="center"/>
              <w:rPr>
                <w:rFonts w:ascii="Tahoma" w:hAnsi="Tahoma" w:cs="Tahoma"/>
                <w:sz w:val="20"/>
                <w:szCs w:val="20"/>
                <w:highlight w:val="lightGray"/>
              </w:rPr>
            </w:pPr>
            <w:r w:rsidRPr="00DB24C9">
              <w:rPr>
                <w:rFonts w:ascii="Tahoma" w:hAnsi="Tahoma" w:cs="Tahoma"/>
                <w:sz w:val="20"/>
                <w:szCs w:val="20"/>
                <w:highlight w:val="lightGray"/>
              </w:rPr>
              <w:t xml:space="preserve">Oferta </w:t>
            </w:r>
          </w:p>
        </w:tc>
        <w:tc>
          <w:tcPr>
            <w:tcW w:w="1984" w:type="dxa"/>
            <w:shd w:val="clear" w:color="auto" w:fill="BFBFBF" w:themeFill="background1" w:themeFillShade="BF"/>
          </w:tcPr>
          <w:p w:rsidR="00357612" w:rsidRPr="00DB24C9" w:rsidRDefault="00357612" w:rsidP="00496E66">
            <w:pPr>
              <w:jc w:val="center"/>
              <w:rPr>
                <w:rFonts w:ascii="Tahoma" w:hAnsi="Tahoma" w:cs="Tahoma"/>
                <w:sz w:val="20"/>
                <w:szCs w:val="20"/>
                <w:highlight w:val="lightGray"/>
              </w:rPr>
            </w:pPr>
            <w:r w:rsidRPr="00DB24C9">
              <w:rPr>
                <w:rFonts w:ascii="Tahoma" w:hAnsi="Tahoma" w:cs="Tahoma"/>
                <w:sz w:val="20"/>
                <w:szCs w:val="20"/>
                <w:highlight w:val="lightGray"/>
              </w:rPr>
              <w:t>ORDEN DE PRELACION</w:t>
            </w:r>
          </w:p>
        </w:tc>
      </w:tr>
      <w:tr w:rsidR="00357612" w:rsidRPr="00DB24C9" w:rsidTr="00496E66">
        <w:tc>
          <w:tcPr>
            <w:tcW w:w="4536" w:type="dxa"/>
          </w:tcPr>
          <w:p w:rsidR="00357612" w:rsidRPr="00DB24C9" w:rsidRDefault="00357612" w:rsidP="00496E66">
            <w:pPr>
              <w:jc w:val="both"/>
              <w:rPr>
                <w:rFonts w:ascii="Tahoma" w:hAnsi="Tahoma" w:cs="Tahoma"/>
                <w:sz w:val="20"/>
                <w:szCs w:val="20"/>
              </w:rPr>
            </w:pPr>
            <w:r w:rsidRPr="00DB24C9">
              <w:rPr>
                <w:rFonts w:ascii="Tahoma" w:hAnsi="Tahoma" w:cs="Tahoma"/>
                <w:sz w:val="20"/>
                <w:szCs w:val="20"/>
              </w:rPr>
              <w:t>CORPORACION NUEVO MUNDO SAC</w:t>
            </w:r>
          </w:p>
        </w:tc>
        <w:tc>
          <w:tcPr>
            <w:tcW w:w="1418" w:type="dxa"/>
          </w:tcPr>
          <w:p w:rsidR="00357612" w:rsidRPr="00DB24C9" w:rsidRDefault="00357612" w:rsidP="00496E66">
            <w:pPr>
              <w:jc w:val="both"/>
              <w:rPr>
                <w:rFonts w:ascii="Tahoma" w:hAnsi="Tahoma" w:cs="Tahoma"/>
                <w:sz w:val="20"/>
                <w:szCs w:val="20"/>
              </w:rPr>
            </w:pPr>
            <w:r w:rsidRPr="00DB24C9">
              <w:rPr>
                <w:rFonts w:ascii="Tahoma" w:hAnsi="Tahoma" w:cs="Tahoma"/>
                <w:sz w:val="20"/>
                <w:szCs w:val="20"/>
              </w:rPr>
              <w:t>S/. 48,000.00</w:t>
            </w:r>
          </w:p>
        </w:tc>
        <w:tc>
          <w:tcPr>
            <w:tcW w:w="1984" w:type="dxa"/>
          </w:tcPr>
          <w:p w:rsidR="00357612" w:rsidRPr="00DB24C9" w:rsidRDefault="00357612" w:rsidP="00496E66">
            <w:pPr>
              <w:jc w:val="center"/>
              <w:rPr>
                <w:rFonts w:ascii="Tahoma" w:hAnsi="Tahoma" w:cs="Tahoma"/>
                <w:sz w:val="20"/>
                <w:szCs w:val="20"/>
              </w:rPr>
            </w:pPr>
            <w:r w:rsidRPr="00DB24C9">
              <w:rPr>
                <w:rFonts w:ascii="Tahoma" w:hAnsi="Tahoma" w:cs="Tahoma"/>
                <w:sz w:val="20"/>
                <w:szCs w:val="20"/>
              </w:rPr>
              <w:t>1º</w:t>
            </w:r>
          </w:p>
        </w:tc>
      </w:tr>
      <w:tr w:rsidR="00357612" w:rsidRPr="00DB24C9" w:rsidTr="00496E66">
        <w:tc>
          <w:tcPr>
            <w:tcW w:w="4536" w:type="dxa"/>
          </w:tcPr>
          <w:p w:rsidR="00357612" w:rsidRPr="00DB24C9" w:rsidRDefault="00357612" w:rsidP="00496E66">
            <w:pPr>
              <w:jc w:val="both"/>
              <w:rPr>
                <w:rFonts w:ascii="Tahoma" w:hAnsi="Tahoma" w:cs="Tahoma"/>
                <w:sz w:val="20"/>
                <w:szCs w:val="20"/>
              </w:rPr>
            </w:pPr>
            <w:r w:rsidRPr="00DB24C9">
              <w:rPr>
                <w:rFonts w:ascii="Tahoma" w:hAnsi="Tahoma" w:cs="Tahoma"/>
                <w:sz w:val="20"/>
                <w:szCs w:val="20"/>
              </w:rPr>
              <w:t>CONSTRUTEK S.A.</w:t>
            </w:r>
          </w:p>
        </w:tc>
        <w:tc>
          <w:tcPr>
            <w:tcW w:w="1418" w:type="dxa"/>
          </w:tcPr>
          <w:p w:rsidR="00357612" w:rsidRPr="00DB24C9" w:rsidRDefault="00357612" w:rsidP="00496E66">
            <w:pPr>
              <w:jc w:val="both"/>
              <w:rPr>
                <w:rFonts w:ascii="Tahoma" w:hAnsi="Tahoma" w:cs="Tahoma"/>
                <w:sz w:val="20"/>
                <w:szCs w:val="20"/>
              </w:rPr>
            </w:pPr>
            <w:r w:rsidRPr="00DB24C9">
              <w:rPr>
                <w:rFonts w:ascii="Tahoma" w:hAnsi="Tahoma" w:cs="Tahoma"/>
                <w:sz w:val="20"/>
                <w:szCs w:val="20"/>
              </w:rPr>
              <w:t>S/. 51,200.00</w:t>
            </w:r>
          </w:p>
        </w:tc>
        <w:tc>
          <w:tcPr>
            <w:tcW w:w="1984" w:type="dxa"/>
          </w:tcPr>
          <w:p w:rsidR="00357612" w:rsidRPr="00DB24C9" w:rsidRDefault="00357612" w:rsidP="00496E66">
            <w:pPr>
              <w:jc w:val="center"/>
              <w:rPr>
                <w:rFonts w:ascii="Tahoma" w:hAnsi="Tahoma" w:cs="Tahoma"/>
                <w:sz w:val="20"/>
                <w:szCs w:val="20"/>
              </w:rPr>
            </w:pPr>
            <w:r w:rsidRPr="00DB24C9">
              <w:rPr>
                <w:rFonts w:ascii="Tahoma" w:hAnsi="Tahoma" w:cs="Tahoma"/>
                <w:sz w:val="20"/>
                <w:szCs w:val="20"/>
              </w:rPr>
              <w:t>2º</w:t>
            </w:r>
          </w:p>
        </w:tc>
      </w:tr>
    </w:tbl>
    <w:p w:rsidR="00357612" w:rsidRPr="00DB24C9" w:rsidRDefault="00357612" w:rsidP="00357612">
      <w:pPr>
        <w:pStyle w:val="Prrafodelista"/>
        <w:tabs>
          <w:tab w:val="left" w:pos="3732"/>
        </w:tabs>
        <w:rPr>
          <w:rFonts w:ascii="Tahoma" w:hAnsi="Tahoma" w:cs="Tahoma"/>
          <w:sz w:val="20"/>
        </w:rPr>
      </w:pPr>
      <w:r w:rsidRPr="00DB24C9">
        <w:rPr>
          <w:rFonts w:ascii="Tahoma" w:hAnsi="Tahoma" w:cs="Tahoma"/>
          <w:sz w:val="20"/>
        </w:rPr>
        <w:tab/>
      </w: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Se debe advertir, que si bien es cierto el monto total de la propuesta económica del Postor ascendía a S/. 48 000.00 (Cuarenta y ocho mil con 00/100 nuevos soles), no es menos cierto que, respecto del mismo objeto, la empresa CONSTRUTEK S.A., postor que le seguía en el segundo lugar del orden de prelación, presentó su oferta económica por un valor a S/. 51 200.00, es decir con una diferencia de S/. 3 200.00. Por tanto, al existir dos postores que por el mismo bien, han presentado sus propuestas económicas con una diferencia mínima, se puede concluir que el valor ofertado estaba de acuerdo a los parámetros que el mercado ofrece para dicho bien, circunstancia que desvirtúa que el precio ofertado era “irreal” o carente de razonabilidad.</w:t>
      </w:r>
    </w:p>
    <w:p w:rsidR="00357612" w:rsidRPr="00DB24C9" w:rsidRDefault="00357612" w:rsidP="00357612">
      <w:pPr>
        <w:pStyle w:val="Prrafodelista"/>
        <w:widowControl/>
        <w:suppressAutoHyphens w:val="0"/>
        <w:spacing w:after="200"/>
        <w:ind w:left="567"/>
        <w:contextualSpacing/>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En esa medida, cabe precisar que en razón a que por un implícito </w:t>
      </w:r>
      <w:r w:rsidRPr="00DB24C9">
        <w:rPr>
          <w:rFonts w:ascii="Tahoma" w:hAnsi="Tahoma" w:cs="Tahoma"/>
          <w:i/>
          <w:sz w:val="20"/>
        </w:rPr>
        <w:t>deber de diligencia</w:t>
      </w:r>
      <w:r w:rsidRPr="00DB24C9">
        <w:rPr>
          <w:rFonts w:ascii="Tahoma" w:hAnsi="Tahoma" w:cs="Tahoma"/>
          <w:sz w:val="20"/>
        </w:rPr>
        <w:t xml:space="preserve"> de parte suya, éste debió elaborar su propuesta con responsabilidad, debiendo verificar el alcance de la misma antes de presentarlo en el proceso de selección, conforme lo establece el artículo 42 de la Ley del Procedimiento Administrativo General, al señalar que todas las declaraciones juradas, los documentos sucedáneos presentados y la información incluida en los escritos y formularios que presenten los administrados para la realización de procedimientos administrativos, </w:t>
      </w:r>
      <w:r w:rsidRPr="00DB24C9">
        <w:rPr>
          <w:rFonts w:ascii="Tahoma" w:hAnsi="Tahoma" w:cs="Tahoma"/>
          <w:sz w:val="20"/>
          <w:u w:val="single"/>
        </w:rPr>
        <w:t>se presumen verificados por quien hace uso de ellos</w:t>
      </w:r>
      <w:r w:rsidRPr="00DB24C9">
        <w:rPr>
          <w:rFonts w:ascii="Tahoma" w:hAnsi="Tahoma" w:cs="Tahoma"/>
          <w:sz w:val="20"/>
        </w:rPr>
        <w:t xml:space="preserve">. </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Atendiendo a dichas consideraciones se puede colegir que el Postor ha incurrido en la infracción tipificada en el literal a) del numeral 51.1 del artículo 51) de la Ley y en el literal a) del numeral 1) del artículo 237 del Reglamento, por tal razón este Colegiado considera que corresponde imponer sanción administrativa al Postor por la comisión de los hechos imputados.</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ind w:left="567"/>
        <w:rPr>
          <w:rFonts w:ascii="Tahoma" w:hAnsi="Tahoma" w:cs="Tahoma"/>
          <w:b/>
          <w:i/>
          <w:sz w:val="20"/>
        </w:rPr>
      </w:pPr>
      <w:r w:rsidRPr="00DB24C9">
        <w:rPr>
          <w:rFonts w:ascii="Tahoma" w:hAnsi="Tahoma" w:cs="Tahoma"/>
          <w:b/>
          <w:i/>
          <w:sz w:val="20"/>
        </w:rPr>
        <w:t>En cuanto a la sanción imponible</w:t>
      </w:r>
    </w:p>
    <w:p w:rsidR="00357612" w:rsidRPr="00DB24C9" w:rsidRDefault="00357612" w:rsidP="00357612">
      <w:pPr>
        <w:pStyle w:val="Prrafodelista"/>
        <w:ind w:left="567"/>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En relación a la graduación de la sanción imponible, dichos artículos 51 de la Ley y 237 del Reglamento, establecen que los postores que no mantengan su oferta hasta antes de </w:t>
      </w:r>
      <w:r w:rsidRPr="00DB24C9">
        <w:rPr>
          <w:rFonts w:ascii="Tahoma" w:hAnsi="Tahoma" w:cs="Tahoma"/>
          <w:sz w:val="20"/>
        </w:rPr>
        <w:lastRenderedPageBreak/>
        <w:t>la suscripción del contrato serán sancionados con inhabilitación temporal para contratar con el Estado por un periodo no menor de un (1) año ni mayor de tres (3) años.</w:t>
      </w:r>
    </w:p>
    <w:p w:rsidR="00357612" w:rsidRPr="00DB24C9" w:rsidRDefault="00357612" w:rsidP="00357612">
      <w:pPr>
        <w:pStyle w:val="Prrafodelista"/>
        <w:widowControl/>
        <w:suppressAutoHyphens w:val="0"/>
        <w:spacing w:after="200"/>
        <w:ind w:left="567"/>
        <w:contextualSpacing/>
        <w:jc w:val="both"/>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Además, debe tenerse en cuenta que de acuerdo al </w:t>
      </w:r>
      <w:r w:rsidRPr="00DB24C9">
        <w:rPr>
          <w:rFonts w:ascii="Tahoma" w:hAnsi="Tahoma" w:cs="Tahoma"/>
          <w:i/>
          <w:iCs/>
          <w:sz w:val="20"/>
        </w:rPr>
        <w:t>Principio de Razonabilidad</w:t>
      </w:r>
      <w:r w:rsidRPr="00DB24C9">
        <w:rPr>
          <w:rFonts w:ascii="Tahoma" w:hAnsi="Tahoma" w:cs="Tahoma"/>
          <w:sz w:val="20"/>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357612" w:rsidRPr="00DB24C9" w:rsidRDefault="00357612" w:rsidP="00357612">
      <w:pPr>
        <w:pStyle w:val="Prrafodelista"/>
        <w:rPr>
          <w:rFonts w:ascii="Tahoma" w:hAnsi="Tahoma" w:cs="Tahoma"/>
          <w:color w:val="000000" w:themeColor="text1"/>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color w:val="000000" w:themeColor="text1"/>
          <w:sz w:val="20"/>
        </w:rPr>
        <w:t>En tal sentido, la sanción que se impondrá a la empresa denunciada deberá ser graduada dentro de los límites dispuestos, para lo cual deberá tenerse en cuenta lo dispuesto por el artículo 245</w:t>
      </w:r>
      <w:r w:rsidRPr="00DB24C9">
        <w:rPr>
          <w:rStyle w:val="Refdenotaalpie"/>
          <w:rFonts w:ascii="Tahoma" w:hAnsi="Tahoma" w:cs="Tahoma"/>
          <w:color w:val="000000" w:themeColor="text1"/>
          <w:sz w:val="20"/>
        </w:rPr>
        <w:footnoteReference w:id="9"/>
      </w:r>
      <w:r w:rsidRPr="00DB24C9">
        <w:rPr>
          <w:rFonts w:ascii="Tahoma" w:hAnsi="Tahoma" w:cs="Tahoma"/>
          <w:color w:val="000000" w:themeColor="text1"/>
          <w:sz w:val="20"/>
        </w:rPr>
        <w:t xml:space="preserve"> del Reglamento.</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 xml:space="preserve">Debe tenerse en cuenta el daño causado por la conducta del Postor, toda vez que se verifica que la renuncia del Postor a la buena pro retardó el normal desenvolvimiento de los actos programados con ocasión de la realización del presente proceso de selección. </w:t>
      </w:r>
    </w:p>
    <w:p w:rsidR="00357612" w:rsidRPr="00DB24C9" w:rsidRDefault="00357612" w:rsidP="00357612">
      <w:pPr>
        <w:pStyle w:val="Prrafodelista"/>
        <w:rPr>
          <w:rFonts w:ascii="Tahoma" w:hAnsi="Tahoma" w:cs="Tahoma"/>
          <w:color w:val="000000" w:themeColor="text1"/>
          <w:sz w:val="20"/>
        </w:rPr>
      </w:pPr>
    </w:p>
    <w:p w:rsidR="00357612" w:rsidRPr="00DB24C9" w:rsidRDefault="00357612" w:rsidP="00357612">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color w:val="000000" w:themeColor="text1"/>
          <w:sz w:val="20"/>
        </w:rPr>
        <w:t>Asimismo, respecto de la conducta procesal, conviene precisar que el Postor durante la sustanciación del presente procedimiento administrativo sancionador no ha presentado sus descargos dentro del plazo concedido, ni mucho menos hasta la fecha de emisión de la presente resolución.</w:t>
      </w:r>
      <w:r w:rsidRPr="00DB24C9">
        <w:rPr>
          <w:rFonts w:ascii="Tahoma" w:hAnsi="Tahoma" w:cs="Tahoma"/>
          <w:color w:val="000000" w:themeColor="text1"/>
          <w:sz w:val="20"/>
          <w:lang w:eastAsia="es-PE"/>
        </w:rPr>
        <w:t xml:space="preserve"> </w:t>
      </w:r>
      <w:r w:rsidRPr="00DB24C9">
        <w:rPr>
          <w:rFonts w:ascii="Tahoma" w:hAnsi="Tahoma" w:cs="Tahoma"/>
          <w:color w:val="000000" w:themeColor="text1"/>
          <w:sz w:val="20"/>
        </w:rPr>
        <w:t>No obstante ello, obra a favor del Postor el elemento atenuante consistente en la ausencia de antecedentes en la comisión de infracciones, hecho que deberá ser tomado en cuenta al momento de graduar la sanción a imponerse.</w:t>
      </w:r>
    </w:p>
    <w:p w:rsidR="00357612" w:rsidRPr="00DB24C9" w:rsidRDefault="00357612" w:rsidP="00357612">
      <w:pPr>
        <w:pStyle w:val="Prrafodelista"/>
        <w:rPr>
          <w:rFonts w:ascii="Tahoma" w:hAnsi="Tahoma" w:cs="Tahoma"/>
          <w:sz w:val="20"/>
        </w:rPr>
      </w:pPr>
    </w:p>
    <w:p w:rsidR="001B13AF" w:rsidRPr="00DB24C9" w:rsidRDefault="00357612" w:rsidP="001B13AF">
      <w:pPr>
        <w:pStyle w:val="Prrafodelista"/>
        <w:widowControl/>
        <w:numPr>
          <w:ilvl w:val="2"/>
          <w:numId w:val="6"/>
        </w:numPr>
        <w:suppressAutoHyphens w:val="0"/>
        <w:spacing w:after="200"/>
        <w:ind w:left="567" w:hanging="567"/>
        <w:contextualSpacing/>
        <w:jc w:val="both"/>
        <w:rPr>
          <w:rFonts w:ascii="Tahoma" w:hAnsi="Tahoma" w:cs="Tahoma"/>
          <w:sz w:val="20"/>
        </w:rPr>
      </w:pPr>
      <w:r w:rsidRPr="00DB24C9">
        <w:rPr>
          <w:rFonts w:ascii="Tahoma" w:hAnsi="Tahoma" w:cs="Tahoma"/>
          <w:sz w:val="20"/>
        </w:rPr>
        <w:t>Por lo antes expuesto, corresponde imponerle la sanción administrativa de inhabilitación temporal en sus derechos para participar en procesos de selección y contratar con el Estado, por el periodo de trece (13) meses.</w:t>
      </w:r>
    </w:p>
    <w:p w:rsidR="001B13AF" w:rsidRPr="00DB24C9" w:rsidRDefault="001B13AF" w:rsidP="001B13AF">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DB24C9">
        <w:rPr>
          <w:rFonts w:ascii="Tahoma" w:eastAsiaTheme="minorHAnsi" w:hAnsi="Tahoma" w:cs="Tahoma"/>
          <w:color w:val="000000"/>
          <w:sz w:val="20"/>
          <w:szCs w:val="20"/>
          <w:lang w:eastAsia="en-US"/>
        </w:rPr>
        <w:tab/>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w:t>
      </w:r>
      <w:r w:rsidRPr="00DB24C9">
        <w:rPr>
          <w:rFonts w:ascii="Tahoma" w:eastAsiaTheme="minorHAnsi" w:hAnsi="Tahoma" w:cs="Tahoma"/>
          <w:color w:val="000000"/>
          <w:sz w:val="20"/>
          <w:szCs w:val="20"/>
          <w:lang w:eastAsia="en-US"/>
        </w:rPr>
        <w:lastRenderedPageBreak/>
        <w:t>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B13AF" w:rsidRPr="00DB24C9" w:rsidRDefault="001B13AF" w:rsidP="001B13AF">
      <w:pPr>
        <w:ind w:firstLine="426"/>
        <w:jc w:val="both"/>
        <w:rPr>
          <w:rFonts w:ascii="Tahoma" w:hAnsi="Tahoma" w:cs="Tahoma"/>
          <w:sz w:val="20"/>
          <w:szCs w:val="20"/>
        </w:rPr>
      </w:pPr>
    </w:p>
    <w:p w:rsidR="001B13AF" w:rsidRPr="00DB24C9" w:rsidRDefault="001B13AF" w:rsidP="001B13AF">
      <w:pPr>
        <w:ind w:firstLine="567"/>
        <w:jc w:val="both"/>
        <w:rPr>
          <w:rFonts w:ascii="Tahoma" w:hAnsi="Tahoma" w:cs="Tahoma"/>
          <w:b/>
          <w:sz w:val="20"/>
          <w:szCs w:val="20"/>
        </w:rPr>
      </w:pPr>
      <w:r w:rsidRPr="00DB24C9">
        <w:rPr>
          <w:rFonts w:ascii="Tahoma" w:hAnsi="Tahoma" w:cs="Tahoma"/>
          <w:b/>
          <w:sz w:val="20"/>
          <w:szCs w:val="20"/>
        </w:rPr>
        <w:t xml:space="preserve">LA SALA RESUELVE: </w:t>
      </w:r>
    </w:p>
    <w:p w:rsidR="001B13AF" w:rsidRPr="00DB24C9" w:rsidRDefault="001B13AF" w:rsidP="001B13AF">
      <w:pPr>
        <w:ind w:firstLine="567"/>
        <w:jc w:val="both"/>
        <w:rPr>
          <w:rFonts w:ascii="Tahoma" w:hAnsi="Tahoma" w:cs="Tahoma"/>
          <w:b/>
          <w:sz w:val="20"/>
          <w:szCs w:val="20"/>
        </w:rPr>
      </w:pPr>
    </w:p>
    <w:p w:rsidR="00357612" w:rsidRPr="00DB24C9" w:rsidRDefault="00357612" w:rsidP="00357612">
      <w:pPr>
        <w:pStyle w:val="Prrafodelista"/>
        <w:widowControl/>
        <w:numPr>
          <w:ilvl w:val="0"/>
          <w:numId w:val="9"/>
        </w:numPr>
        <w:suppressAutoHyphens w:val="0"/>
        <w:spacing w:after="200"/>
        <w:ind w:left="567" w:hanging="567"/>
        <w:contextualSpacing/>
        <w:jc w:val="both"/>
        <w:rPr>
          <w:rFonts w:ascii="Tahoma" w:hAnsi="Tahoma" w:cs="Tahoma"/>
          <w:bCs/>
          <w:sz w:val="20"/>
        </w:rPr>
      </w:pPr>
      <w:r w:rsidRPr="00DB24C9">
        <w:rPr>
          <w:rFonts w:ascii="Tahoma" w:hAnsi="Tahoma" w:cs="Tahoma"/>
          <w:bCs/>
          <w:sz w:val="20"/>
        </w:rPr>
        <w:t>Declarar improcedente la solicitud de nulidad interpuesta por PETROPERU</w:t>
      </w:r>
      <w:r w:rsidRPr="00DB24C9">
        <w:rPr>
          <w:rFonts w:ascii="Tahoma" w:hAnsi="Tahoma" w:cs="Tahoma"/>
          <w:sz w:val="20"/>
        </w:rPr>
        <w:t xml:space="preserve">, contra la Resolución Nº 810-2011-TC-S1, </w:t>
      </w:r>
      <w:r w:rsidRPr="00DB24C9">
        <w:rPr>
          <w:rFonts w:ascii="Tahoma" w:hAnsi="Tahoma" w:cs="Tahoma"/>
          <w:bCs/>
          <w:sz w:val="20"/>
        </w:rPr>
        <w:t>de fecha 12 de mayo de 2011, por los fundamentos expuestos.</w:t>
      </w:r>
    </w:p>
    <w:p w:rsidR="00357612" w:rsidRPr="00DB24C9" w:rsidRDefault="00357612" w:rsidP="00357612">
      <w:pPr>
        <w:pStyle w:val="Prrafodelista"/>
        <w:widowControl/>
        <w:suppressAutoHyphens w:val="0"/>
        <w:spacing w:after="200"/>
        <w:ind w:left="567"/>
        <w:contextualSpacing/>
        <w:jc w:val="both"/>
        <w:rPr>
          <w:rFonts w:ascii="Tahoma" w:hAnsi="Tahoma" w:cs="Tahoma"/>
          <w:bCs/>
          <w:sz w:val="20"/>
        </w:rPr>
      </w:pPr>
    </w:p>
    <w:p w:rsidR="00357612" w:rsidRPr="00DB24C9" w:rsidRDefault="00357612" w:rsidP="00357612">
      <w:pPr>
        <w:pStyle w:val="Prrafodelista"/>
        <w:widowControl/>
        <w:numPr>
          <w:ilvl w:val="0"/>
          <w:numId w:val="9"/>
        </w:numPr>
        <w:suppressAutoHyphens w:val="0"/>
        <w:spacing w:after="200"/>
        <w:ind w:left="567" w:hanging="567"/>
        <w:contextualSpacing/>
        <w:jc w:val="both"/>
        <w:rPr>
          <w:rFonts w:ascii="Tahoma" w:hAnsi="Tahoma" w:cs="Tahoma"/>
          <w:bCs/>
          <w:sz w:val="20"/>
        </w:rPr>
      </w:pPr>
      <w:r w:rsidRPr="00DB24C9">
        <w:rPr>
          <w:rFonts w:ascii="Tahoma" w:hAnsi="Tahoma" w:cs="Tahoma"/>
          <w:bCs/>
          <w:sz w:val="20"/>
        </w:rPr>
        <w:t xml:space="preserve">Declarar nula de oficio la Resolución Nº </w:t>
      </w:r>
      <w:r w:rsidRPr="00DB24C9">
        <w:rPr>
          <w:rFonts w:ascii="Tahoma" w:hAnsi="Tahoma" w:cs="Tahoma"/>
          <w:sz w:val="20"/>
        </w:rPr>
        <w:t xml:space="preserve">810-2011-TC-S1, </w:t>
      </w:r>
      <w:r w:rsidRPr="00DB24C9">
        <w:rPr>
          <w:rFonts w:ascii="Tahoma" w:hAnsi="Tahoma" w:cs="Tahoma"/>
          <w:bCs/>
          <w:sz w:val="20"/>
        </w:rPr>
        <w:t>de fecha 12 de mayo de 2011; y, por su efecto, retrotraer el procedimiento al momento previo a la emisión de la resolución que resuelve declarar no ha lugar la imposición de sanción, por los fundamentos expuestos.</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9"/>
        </w:numPr>
        <w:suppressAutoHyphens w:val="0"/>
        <w:spacing w:after="200"/>
        <w:ind w:left="567" w:hanging="567"/>
        <w:contextualSpacing/>
        <w:jc w:val="both"/>
        <w:rPr>
          <w:rFonts w:ascii="Tahoma" w:hAnsi="Tahoma" w:cs="Tahoma"/>
          <w:bCs/>
          <w:sz w:val="20"/>
        </w:rPr>
      </w:pPr>
      <w:r w:rsidRPr="00DB24C9">
        <w:rPr>
          <w:rFonts w:ascii="Tahoma" w:hAnsi="Tahoma" w:cs="Tahoma"/>
          <w:sz w:val="20"/>
        </w:rPr>
        <w:t>Imponer a la empresa CORPORACION NUEVO MUNDO S.A.C. sanción administrativa de inhabilitación temporal en sus derechos para participar en procesos de selección y contratar con el Estado, por el periodo de trece  (13) meses, la cual entrará en vigencia a partir del sexto día hábil siguiente de notificada la presente Resolución.</w:t>
      </w:r>
    </w:p>
    <w:p w:rsidR="00357612" w:rsidRPr="00DB24C9" w:rsidRDefault="00357612" w:rsidP="00357612">
      <w:pPr>
        <w:pStyle w:val="Prrafodelista"/>
        <w:rPr>
          <w:rFonts w:ascii="Tahoma" w:hAnsi="Tahoma" w:cs="Tahoma"/>
          <w:sz w:val="20"/>
        </w:rPr>
      </w:pPr>
    </w:p>
    <w:p w:rsidR="00357612" w:rsidRPr="00DB24C9" w:rsidRDefault="00357612" w:rsidP="00357612">
      <w:pPr>
        <w:pStyle w:val="Prrafodelista"/>
        <w:widowControl/>
        <w:numPr>
          <w:ilvl w:val="0"/>
          <w:numId w:val="9"/>
        </w:numPr>
        <w:suppressAutoHyphens w:val="0"/>
        <w:spacing w:after="200"/>
        <w:ind w:left="567" w:hanging="567"/>
        <w:contextualSpacing/>
        <w:jc w:val="both"/>
        <w:rPr>
          <w:rFonts w:ascii="Tahoma" w:hAnsi="Tahoma" w:cs="Tahoma"/>
          <w:bCs/>
          <w:sz w:val="20"/>
        </w:rPr>
      </w:pPr>
      <w:r w:rsidRPr="00DB24C9">
        <w:rPr>
          <w:rFonts w:ascii="Tahoma" w:hAnsi="Tahoma" w:cs="Tahoma"/>
          <w:sz w:val="20"/>
        </w:rPr>
        <w:t>Comunicar la presente resolución al Registro Nacional de Proveedores del Organismo Supervisor de las Contrataciones del Estado (OSCE), para las anotaciones de Ley.</w:t>
      </w:r>
    </w:p>
    <w:p w:rsidR="00357612" w:rsidRPr="00DB24C9" w:rsidRDefault="00357612" w:rsidP="00357612">
      <w:pPr>
        <w:pStyle w:val="Prrafodelista"/>
        <w:tabs>
          <w:tab w:val="left" w:pos="180"/>
        </w:tabs>
        <w:ind w:left="567"/>
        <w:rPr>
          <w:rFonts w:ascii="Tahoma" w:hAnsi="Tahoma" w:cs="Tahoma"/>
          <w:b/>
          <w:sz w:val="20"/>
        </w:rPr>
      </w:pPr>
    </w:p>
    <w:p w:rsidR="00357612" w:rsidRPr="00DB24C9" w:rsidRDefault="00357612" w:rsidP="00357612">
      <w:pPr>
        <w:pStyle w:val="Prrafodelista"/>
        <w:widowControl/>
        <w:numPr>
          <w:ilvl w:val="0"/>
          <w:numId w:val="9"/>
        </w:numPr>
        <w:suppressAutoHyphens w:val="0"/>
        <w:spacing w:after="200"/>
        <w:ind w:left="567" w:hanging="567"/>
        <w:contextualSpacing/>
        <w:jc w:val="both"/>
        <w:rPr>
          <w:rFonts w:ascii="Tahoma" w:hAnsi="Tahoma" w:cs="Tahoma"/>
          <w:bCs/>
          <w:sz w:val="20"/>
        </w:rPr>
      </w:pPr>
      <w:r w:rsidRPr="00DB24C9">
        <w:rPr>
          <w:rFonts w:ascii="Tahoma" w:hAnsi="Tahoma" w:cs="Tahoma"/>
          <w:bCs/>
          <w:sz w:val="20"/>
        </w:rPr>
        <w:t>Dar por agotada la vía administrativa.</w:t>
      </w:r>
    </w:p>
    <w:p w:rsidR="00357612" w:rsidRPr="00DB24C9" w:rsidRDefault="00357612" w:rsidP="00357612">
      <w:pPr>
        <w:pStyle w:val="Prrafodelista"/>
        <w:ind w:left="567"/>
        <w:jc w:val="both"/>
        <w:rPr>
          <w:rFonts w:ascii="Tahoma" w:hAnsi="Tahoma" w:cs="Tahoma"/>
          <w:bCs/>
          <w:sz w:val="20"/>
        </w:rPr>
      </w:pPr>
    </w:p>
    <w:p w:rsidR="001B13AF" w:rsidRPr="00DB24C9" w:rsidRDefault="001B13AF" w:rsidP="001B13AF">
      <w:pPr>
        <w:pStyle w:val="Prrafodelista"/>
        <w:ind w:left="426"/>
        <w:jc w:val="both"/>
        <w:rPr>
          <w:rFonts w:ascii="Tahoma" w:hAnsi="Tahoma" w:cs="Tahoma"/>
          <w:color w:val="000000" w:themeColor="text1"/>
          <w:sz w:val="20"/>
        </w:rPr>
      </w:pPr>
    </w:p>
    <w:p w:rsidR="001B13AF" w:rsidRPr="00DB24C9" w:rsidRDefault="001B13AF" w:rsidP="001B13AF">
      <w:pPr>
        <w:pStyle w:val="Textoindependiente21"/>
        <w:ind w:firstLine="567"/>
        <w:rPr>
          <w:rFonts w:cs="Tahoma"/>
          <w:sz w:val="20"/>
        </w:rPr>
      </w:pPr>
      <w:r w:rsidRPr="00DB24C9">
        <w:rPr>
          <w:rFonts w:cs="Tahoma"/>
          <w:sz w:val="20"/>
        </w:rPr>
        <w:t>Regístrese, comuníquese y publíquese.</w:t>
      </w:r>
    </w:p>
    <w:p w:rsidR="001B13AF" w:rsidRPr="00DB24C9" w:rsidRDefault="001B13AF" w:rsidP="001B13AF">
      <w:pPr>
        <w:jc w:val="center"/>
        <w:rPr>
          <w:rFonts w:ascii="Tahoma" w:hAnsi="Tahoma" w:cs="Tahoma"/>
          <w:b/>
          <w:sz w:val="20"/>
          <w:szCs w:val="20"/>
        </w:rPr>
      </w:pPr>
    </w:p>
    <w:p w:rsidR="001B13AF" w:rsidRPr="00DB24C9" w:rsidRDefault="001B13AF" w:rsidP="001B13AF">
      <w:pPr>
        <w:jc w:val="center"/>
        <w:rPr>
          <w:rFonts w:ascii="Tahoma" w:hAnsi="Tahoma" w:cs="Tahoma"/>
          <w:b/>
          <w:sz w:val="20"/>
          <w:szCs w:val="20"/>
        </w:rPr>
      </w:pPr>
    </w:p>
    <w:p w:rsidR="001B13AF" w:rsidRPr="00DB24C9" w:rsidRDefault="001B13AF" w:rsidP="001B13AF">
      <w:pPr>
        <w:rPr>
          <w:rFonts w:ascii="Tahoma" w:hAnsi="Tahoma" w:cs="Tahoma"/>
          <w:b/>
          <w:sz w:val="20"/>
          <w:szCs w:val="20"/>
        </w:rPr>
      </w:pPr>
    </w:p>
    <w:p w:rsidR="001B13AF" w:rsidRPr="00DB24C9" w:rsidRDefault="001B13AF" w:rsidP="001B13AF">
      <w:pPr>
        <w:rPr>
          <w:rFonts w:ascii="Tahoma" w:hAnsi="Tahoma" w:cs="Tahoma"/>
          <w:b/>
          <w:sz w:val="20"/>
          <w:szCs w:val="20"/>
        </w:rPr>
      </w:pPr>
    </w:p>
    <w:p w:rsidR="00357612" w:rsidRPr="00DB24C9" w:rsidRDefault="00357612" w:rsidP="001B13AF">
      <w:pPr>
        <w:rPr>
          <w:rFonts w:ascii="Tahoma" w:hAnsi="Tahoma" w:cs="Tahoma"/>
          <w:b/>
          <w:sz w:val="20"/>
          <w:szCs w:val="20"/>
        </w:rPr>
      </w:pPr>
    </w:p>
    <w:p w:rsidR="00357612" w:rsidRPr="00DB24C9" w:rsidRDefault="00357612" w:rsidP="001B13AF">
      <w:pPr>
        <w:rPr>
          <w:rFonts w:ascii="Tahoma" w:hAnsi="Tahoma" w:cs="Tahoma"/>
          <w:b/>
          <w:sz w:val="20"/>
          <w:szCs w:val="20"/>
        </w:rPr>
      </w:pPr>
    </w:p>
    <w:p w:rsidR="001B13AF" w:rsidRPr="00DB24C9" w:rsidRDefault="001B13AF" w:rsidP="001B13AF">
      <w:pPr>
        <w:jc w:val="center"/>
        <w:rPr>
          <w:rFonts w:ascii="Tahoma" w:hAnsi="Tahoma" w:cs="Tahoma"/>
          <w:b/>
          <w:sz w:val="20"/>
          <w:szCs w:val="20"/>
        </w:rPr>
      </w:pPr>
    </w:p>
    <w:p w:rsidR="001B13AF" w:rsidRPr="00DB24C9" w:rsidRDefault="001B13AF" w:rsidP="001B13AF">
      <w:pPr>
        <w:jc w:val="center"/>
        <w:rPr>
          <w:rFonts w:ascii="Tahoma" w:hAnsi="Tahoma" w:cs="Tahoma"/>
          <w:b/>
          <w:shadow/>
          <w:sz w:val="20"/>
          <w:szCs w:val="20"/>
          <w:lang w:val="pt-BR"/>
        </w:rPr>
      </w:pPr>
      <w:r w:rsidRPr="00DB24C9">
        <w:rPr>
          <w:rFonts w:ascii="Tahoma" w:hAnsi="Tahoma" w:cs="Tahoma"/>
          <w:b/>
          <w:shadow/>
          <w:sz w:val="20"/>
          <w:szCs w:val="20"/>
          <w:lang w:val="pt-BR"/>
        </w:rPr>
        <w:t>PRESIDENTE</w:t>
      </w:r>
    </w:p>
    <w:p w:rsidR="001B13AF" w:rsidRPr="00DB24C9" w:rsidRDefault="001B13AF" w:rsidP="001B13AF">
      <w:pPr>
        <w:ind w:firstLine="708"/>
        <w:rPr>
          <w:rFonts w:ascii="Tahoma" w:hAnsi="Tahoma" w:cs="Tahoma"/>
          <w:b/>
          <w:shadow/>
          <w:sz w:val="20"/>
          <w:szCs w:val="20"/>
          <w:lang w:val="pt-BR"/>
        </w:rPr>
      </w:pPr>
    </w:p>
    <w:p w:rsidR="001B13AF" w:rsidRPr="00DB24C9" w:rsidRDefault="001B13AF" w:rsidP="001B13AF">
      <w:pPr>
        <w:ind w:firstLine="708"/>
        <w:rPr>
          <w:rFonts w:ascii="Tahoma" w:hAnsi="Tahoma" w:cs="Tahoma"/>
          <w:b/>
          <w:shadow/>
          <w:sz w:val="20"/>
          <w:szCs w:val="20"/>
          <w:lang w:val="pt-BR"/>
        </w:rPr>
      </w:pPr>
      <w:r w:rsidRPr="00DB24C9">
        <w:rPr>
          <w:rFonts w:ascii="Tahoma" w:hAnsi="Tahoma" w:cs="Tahoma"/>
          <w:b/>
          <w:shadow/>
          <w:sz w:val="20"/>
          <w:szCs w:val="20"/>
          <w:lang w:val="pt-BR"/>
        </w:rPr>
        <w:t xml:space="preserve">VOCAL           </w:t>
      </w:r>
      <w:r w:rsidRPr="00DB24C9">
        <w:rPr>
          <w:rFonts w:ascii="Tahoma" w:hAnsi="Tahoma" w:cs="Tahoma"/>
          <w:b/>
          <w:shadow/>
          <w:sz w:val="20"/>
          <w:szCs w:val="20"/>
          <w:lang w:val="pt-BR"/>
        </w:rPr>
        <w:tab/>
      </w:r>
      <w:r w:rsidRPr="00DB24C9">
        <w:rPr>
          <w:rFonts w:ascii="Tahoma" w:hAnsi="Tahoma" w:cs="Tahoma"/>
          <w:b/>
          <w:shadow/>
          <w:sz w:val="20"/>
          <w:szCs w:val="20"/>
          <w:lang w:val="pt-BR"/>
        </w:rPr>
        <w:tab/>
        <w:t xml:space="preserve">                                                                 VOCAL</w:t>
      </w:r>
    </w:p>
    <w:p w:rsidR="001B13AF" w:rsidRPr="00DB24C9" w:rsidRDefault="001B13AF" w:rsidP="001B13AF">
      <w:pPr>
        <w:rPr>
          <w:rFonts w:ascii="Tahoma" w:hAnsi="Tahoma" w:cs="Tahoma"/>
          <w:sz w:val="20"/>
          <w:szCs w:val="20"/>
          <w:lang w:val="pt-BR"/>
        </w:rPr>
      </w:pPr>
    </w:p>
    <w:p w:rsidR="001B13AF" w:rsidRPr="00DB24C9" w:rsidRDefault="001B13AF" w:rsidP="001B13AF">
      <w:pPr>
        <w:jc w:val="both"/>
        <w:rPr>
          <w:rFonts w:ascii="Tahoma" w:hAnsi="Tahoma" w:cs="Tahoma"/>
          <w:sz w:val="20"/>
          <w:szCs w:val="20"/>
          <w:lang w:val="pt-BR"/>
        </w:rPr>
      </w:pPr>
      <w:r w:rsidRPr="00DB24C9">
        <w:rPr>
          <w:rFonts w:ascii="Tahoma" w:hAnsi="Tahoma" w:cs="Tahoma"/>
          <w:sz w:val="20"/>
          <w:szCs w:val="20"/>
          <w:lang w:val="pt-BR"/>
        </w:rPr>
        <w:t>ss.</w:t>
      </w:r>
    </w:p>
    <w:p w:rsidR="001B13AF" w:rsidRPr="00DB24C9" w:rsidRDefault="001B13AF" w:rsidP="001B13AF">
      <w:pPr>
        <w:pStyle w:val="Textoindependiente21"/>
        <w:tabs>
          <w:tab w:val="left" w:pos="5250"/>
        </w:tabs>
        <w:rPr>
          <w:rFonts w:cs="Tahoma"/>
          <w:sz w:val="20"/>
          <w:lang w:val="pt-BR"/>
        </w:rPr>
      </w:pPr>
      <w:r w:rsidRPr="00DB24C9">
        <w:rPr>
          <w:rFonts w:cs="Tahoma"/>
          <w:sz w:val="20"/>
          <w:lang w:val="pt-BR"/>
        </w:rPr>
        <w:t>Navas Rondón.</w:t>
      </w:r>
    </w:p>
    <w:p w:rsidR="001B13AF" w:rsidRPr="00DB24C9" w:rsidRDefault="001B13AF" w:rsidP="001B13AF">
      <w:pPr>
        <w:pStyle w:val="Textoindependiente21"/>
        <w:tabs>
          <w:tab w:val="left" w:pos="5250"/>
        </w:tabs>
        <w:rPr>
          <w:rFonts w:cs="Tahoma"/>
          <w:sz w:val="20"/>
          <w:lang w:val="pt-BR"/>
        </w:rPr>
      </w:pPr>
      <w:r w:rsidRPr="00DB24C9">
        <w:rPr>
          <w:rFonts w:cs="Tahoma"/>
          <w:sz w:val="20"/>
        </w:rPr>
        <w:t>Ramírez Maynetto.</w:t>
      </w:r>
    </w:p>
    <w:p w:rsidR="001D5C36" w:rsidRPr="00DB24C9" w:rsidRDefault="001B13AF" w:rsidP="00357612">
      <w:pPr>
        <w:pStyle w:val="Textoindependiente21"/>
        <w:tabs>
          <w:tab w:val="left" w:pos="5250"/>
        </w:tabs>
        <w:rPr>
          <w:rFonts w:cs="Tahoma"/>
          <w:sz w:val="20"/>
          <w:lang w:val="pt-BR"/>
        </w:rPr>
      </w:pPr>
      <w:r w:rsidRPr="00DB24C9">
        <w:rPr>
          <w:rFonts w:cs="Tahoma"/>
          <w:sz w:val="20"/>
          <w:lang w:val="pt-BR"/>
        </w:rPr>
        <w:t>Basulto Liewald.</w:t>
      </w:r>
    </w:p>
    <w:sectPr w:rsidR="001D5C36" w:rsidRPr="00DB24C9"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C3B" w:rsidRDefault="00402C3B" w:rsidP="001B13AF">
      <w:r>
        <w:separator/>
      </w:r>
    </w:p>
  </w:endnote>
  <w:endnote w:type="continuationSeparator" w:id="1">
    <w:p w:rsidR="00402C3B" w:rsidRDefault="00402C3B" w:rsidP="001B13AF">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W1)">
    <w:altName w:val="Times New Roman"/>
    <w:panose1 w:val="02020603050405020304"/>
    <w:charset w:val="00"/>
    <w:family w:val="roman"/>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FC2FE8">
            <w:pPr>
              <w:pStyle w:val="Piedepgina"/>
              <w:jc w:val="center"/>
            </w:pPr>
            <w:r>
              <w:t xml:space="preserve">Página </w:t>
            </w:r>
            <w:r w:rsidR="006A63E7">
              <w:rPr>
                <w:b/>
              </w:rPr>
              <w:fldChar w:fldCharType="begin"/>
            </w:r>
            <w:r>
              <w:rPr>
                <w:b/>
              </w:rPr>
              <w:instrText>PAGE</w:instrText>
            </w:r>
            <w:r w:rsidR="006A63E7">
              <w:rPr>
                <w:b/>
              </w:rPr>
              <w:fldChar w:fldCharType="separate"/>
            </w:r>
            <w:r w:rsidR="00171A5F">
              <w:rPr>
                <w:b/>
                <w:noProof/>
              </w:rPr>
              <w:t>1</w:t>
            </w:r>
            <w:r w:rsidR="006A63E7">
              <w:rPr>
                <w:b/>
              </w:rPr>
              <w:fldChar w:fldCharType="end"/>
            </w:r>
            <w:r>
              <w:t xml:space="preserve"> de </w:t>
            </w:r>
            <w:r w:rsidR="006A63E7">
              <w:rPr>
                <w:b/>
              </w:rPr>
              <w:fldChar w:fldCharType="begin"/>
            </w:r>
            <w:r>
              <w:rPr>
                <w:b/>
              </w:rPr>
              <w:instrText>NUMPAGES</w:instrText>
            </w:r>
            <w:r w:rsidR="006A63E7">
              <w:rPr>
                <w:b/>
              </w:rPr>
              <w:fldChar w:fldCharType="separate"/>
            </w:r>
            <w:r w:rsidR="00171A5F">
              <w:rPr>
                <w:b/>
                <w:noProof/>
              </w:rPr>
              <w:t>13</w:t>
            </w:r>
            <w:r w:rsidR="006A63E7">
              <w:rPr>
                <w:b/>
              </w:rPr>
              <w:fldChar w:fldCharType="end"/>
            </w:r>
          </w:p>
        </w:sdtContent>
      </w:sdt>
    </w:sdtContent>
  </w:sdt>
  <w:p w:rsidR="0035353E" w:rsidRDefault="00402C3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C3B" w:rsidRDefault="00402C3B" w:rsidP="001B13AF">
      <w:r>
        <w:separator/>
      </w:r>
    </w:p>
  </w:footnote>
  <w:footnote w:type="continuationSeparator" w:id="1">
    <w:p w:rsidR="00402C3B" w:rsidRDefault="00402C3B" w:rsidP="001B13AF">
      <w:r>
        <w:continuationSeparator/>
      </w:r>
    </w:p>
  </w:footnote>
  <w:footnote w:id="2">
    <w:p w:rsidR="00357612" w:rsidRDefault="00357612" w:rsidP="00357612">
      <w:pPr>
        <w:pStyle w:val="Textonotapie"/>
        <w:ind w:left="70" w:hanging="112"/>
        <w:jc w:val="both"/>
      </w:pPr>
      <w:r>
        <w:rPr>
          <w:rStyle w:val="Refdenotaalpie"/>
        </w:rPr>
        <w:footnoteRef/>
      </w:r>
      <w:r>
        <w:t xml:space="preserve"> </w:t>
      </w:r>
      <w:r w:rsidRPr="00E05F8C">
        <w:t>Esta posición es concordante además con el precedente de observancia obligatoria aprobado en la sesión del Quincuagésimo Sexto Pleno Registral del Tribunal Registral de la SUNARP, sustentado en la Resolución</w:t>
      </w:r>
      <w:r>
        <w:t xml:space="preserve"> Nº 347-2010-SUNARP-TR-L. Publicado en el Diario Oficial El Peruano el 28 de mayo de 2010.</w:t>
      </w:r>
    </w:p>
    <w:p w:rsidR="00357612" w:rsidRDefault="00357612" w:rsidP="00357612">
      <w:pPr>
        <w:pStyle w:val="Textonotapie"/>
      </w:pPr>
    </w:p>
  </w:footnote>
  <w:footnote w:id="3">
    <w:p w:rsidR="00357612" w:rsidRPr="00925239" w:rsidRDefault="00357612" w:rsidP="00357612">
      <w:pPr>
        <w:jc w:val="both"/>
        <w:rPr>
          <w:rFonts w:ascii="Times New (W1)" w:hAnsi="Times New (W1)"/>
          <w:sz w:val="16"/>
          <w:szCs w:val="16"/>
        </w:rPr>
      </w:pPr>
      <w:r w:rsidRPr="00925239">
        <w:rPr>
          <w:rStyle w:val="Refdenotaalpie"/>
          <w:rFonts w:ascii="Times New (W1)" w:hAnsi="Times New (W1)"/>
          <w:sz w:val="16"/>
          <w:szCs w:val="16"/>
        </w:rPr>
        <w:footnoteRef/>
      </w:r>
      <w:r w:rsidRPr="00925239">
        <w:rPr>
          <w:rFonts w:ascii="Times New (W1)" w:hAnsi="Times New (W1)"/>
          <w:sz w:val="16"/>
          <w:szCs w:val="16"/>
        </w:rPr>
        <w:t xml:space="preserve"> </w:t>
      </w:r>
      <w:r w:rsidRPr="00925239">
        <w:rPr>
          <w:rFonts w:ascii="Times New (W1)" w:hAnsi="Times New (W1)" w:cs="Arial"/>
          <w:sz w:val="16"/>
          <w:szCs w:val="16"/>
        </w:rPr>
        <w:t xml:space="preserve">DROMI, Roberto. </w:t>
      </w:r>
      <w:r w:rsidRPr="00925239">
        <w:rPr>
          <w:rFonts w:ascii="Times New (W1)" w:hAnsi="Times New (W1)" w:cs="Arial"/>
          <w:i/>
          <w:sz w:val="16"/>
          <w:szCs w:val="16"/>
        </w:rPr>
        <w:t>Derecho Administrativo.</w:t>
      </w:r>
      <w:r w:rsidRPr="00925239">
        <w:rPr>
          <w:rFonts w:ascii="Times New (W1)" w:hAnsi="Times New (W1)" w:cs="Arial"/>
          <w:sz w:val="16"/>
          <w:szCs w:val="16"/>
        </w:rPr>
        <w:t xml:space="preserve"> Edición latinoamericana. Ciudad Argentina. Buenos Aires: 2006. 1630 págs. Ver especialmente las páginas 376 y 377.</w:t>
      </w:r>
    </w:p>
  </w:footnote>
  <w:footnote w:id="4">
    <w:p w:rsidR="00357612" w:rsidRPr="00925239" w:rsidRDefault="00357612" w:rsidP="00357612">
      <w:pPr>
        <w:pStyle w:val="Textonotapie"/>
        <w:jc w:val="both"/>
        <w:rPr>
          <w:rFonts w:ascii="Times New (W1)" w:hAnsi="Times New (W1)"/>
          <w:i/>
          <w:sz w:val="16"/>
          <w:szCs w:val="16"/>
        </w:rPr>
      </w:pPr>
      <w:r w:rsidRPr="00925239">
        <w:rPr>
          <w:rStyle w:val="Refdenotaalpie"/>
          <w:rFonts w:ascii="Times New (W1)" w:hAnsi="Times New (W1)"/>
          <w:sz w:val="16"/>
          <w:szCs w:val="16"/>
        </w:rPr>
        <w:footnoteRef/>
      </w:r>
      <w:r w:rsidRPr="00925239">
        <w:rPr>
          <w:rFonts w:ascii="Times New (W1)" w:hAnsi="Times New (W1)"/>
          <w:i/>
          <w:sz w:val="16"/>
          <w:szCs w:val="16"/>
        </w:rPr>
        <w:t xml:space="preserve"> “</w:t>
      </w:r>
      <w:r w:rsidRPr="00925239">
        <w:rPr>
          <w:rFonts w:ascii="Times New (W1)" w:hAnsi="Times New (W1)"/>
          <w:b/>
          <w:i/>
          <w:sz w:val="16"/>
          <w:szCs w:val="16"/>
        </w:rPr>
        <w:t>Artículo 3.- Requisitos de validez de los actos administrativos</w:t>
      </w:r>
    </w:p>
    <w:p w:rsidR="00357612" w:rsidRPr="00925239" w:rsidRDefault="00357612" w:rsidP="00357612">
      <w:pPr>
        <w:pStyle w:val="Textonotapie"/>
        <w:jc w:val="both"/>
        <w:rPr>
          <w:rFonts w:ascii="Times New (W1)" w:hAnsi="Times New (W1)"/>
          <w:i/>
          <w:sz w:val="16"/>
          <w:szCs w:val="16"/>
        </w:rPr>
      </w:pPr>
      <w:r w:rsidRPr="00925239">
        <w:rPr>
          <w:rFonts w:ascii="Times New (W1)" w:hAnsi="Times New (W1)"/>
          <w:i/>
          <w:sz w:val="16"/>
          <w:szCs w:val="16"/>
        </w:rPr>
        <w:t>Son requisitos de validez de los actos administrativos:</w:t>
      </w:r>
    </w:p>
    <w:p w:rsidR="00357612" w:rsidRPr="00925239" w:rsidRDefault="00357612" w:rsidP="00357612">
      <w:pPr>
        <w:pStyle w:val="Textonotapie"/>
        <w:jc w:val="both"/>
        <w:rPr>
          <w:rFonts w:ascii="Times New (W1)" w:hAnsi="Times New (W1)"/>
          <w:sz w:val="16"/>
          <w:szCs w:val="16"/>
        </w:rPr>
      </w:pPr>
      <w:r w:rsidRPr="00925239">
        <w:rPr>
          <w:rFonts w:ascii="Times New (W1)" w:hAnsi="Times New (W1)"/>
          <w:i/>
          <w:sz w:val="16"/>
          <w:szCs w:val="16"/>
        </w:rPr>
        <w:t xml:space="preserve">(…) </w:t>
      </w:r>
      <w:r w:rsidRPr="00925239">
        <w:rPr>
          <w:rFonts w:ascii="Times New (W1)" w:hAnsi="Times New (W1)"/>
          <w:b/>
          <w:i/>
          <w:sz w:val="16"/>
          <w:szCs w:val="16"/>
        </w:rPr>
        <w:t>4. Motivación.-</w:t>
      </w:r>
      <w:r w:rsidRPr="00925239">
        <w:rPr>
          <w:rFonts w:ascii="Times New (W1)" w:hAnsi="Times New (W1)"/>
          <w:i/>
          <w:sz w:val="16"/>
          <w:szCs w:val="16"/>
        </w:rPr>
        <w:t xml:space="preserve"> El acto administrativo debe estar debidamente motivado en proporción al contenido y conforme al ordenamiento jurídico.”</w:t>
      </w:r>
    </w:p>
  </w:footnote>
  <w:footnote w:id="5">
    <w:p w:rsidR="00357612" w:rsidRPr="00925239" w:rsidRDefault="00357612" w:rsidP="00357612">
      <w:pPr>
        <w:pStyle w:val="Textonotapie"/>
        <w:jc w:val="both"/>
        <w:rPr>
          <w:rFonts w:ascii="Times New (W1)" w:hAnsi="Times New (W1)"/>
          <w:i/>
          <w:sz w:val="16"/>
          <w:szCs w:val="16"/>
        </w:rPr>
      </w:pPr>
      <w:r w:rsidRPr="00925239">
        <w:rPr>
          <w:rStyle w:val="Refdenotaalpie"/>
          <w:rFonts w:ascii="Times New (W1)" w:hAnsi="Times New (W1)"/>
          <w:sz w:val="16"/>
          <w:szCs w:val="16"/>
        </w:rPr>
        <w:footnoteRef/>
      </w:r>
      <w:r w:rsidRPr="00925239">
        <w:rPr>
          <w:rFonts w:ascii="Times New (W1)" w:hAnsi="Times New (W1)"/>
          <w:i/>
          <w:sz w:val="16"/>
          <w:szCs w:val="16"/>
        </w:rPr>
        <w:t xml:space="preserve"> “</w:t>
      </w:r>
      <w:r w:rsidRPr="00925239">
        <w:rPr>
          <w:rFonts w:ascii="Times New (W1)" w:hAnsi="Times New (W1)"/>
          <w:b/>
          <w:i/>
          <w:sz w:val="16"/>
          <w:szCs w:val="16"/>
        </w:rPr>
        <w:t>Artículo 6.- Motivación del acto administrativo</w:t>
      </w:r>
    </w:p>
    <w:p w:rsidR="00357612" w:rsidRPr="00925239" w:rsidRDefault="00357612" w:rsidP="00357612">
      <w:pPr>
        <w:pStyle w:val="Textonotapie"/>
        <w:jc w:val="both"/>
        <w:rPr>
          <w:rFonts w:ascii="Times New (W1)" w:hAnsi="Times New (W1)"/>
          <w:i/>
          <w:sz w:val="16"/>
          <w:szCs w:val="16"/>
        </w:rPr>
      </w:pPr>
      <w:r w:rsidRPr="00925239">
        <w:rPr>
          <w:rFonts w:ascii="Times New (W1)" w:hAnsi="Times New (W1)"/>
          <w:i/>
          <w:sz w:val="16"/>
          <w:szCs w:val="16"/>
        </w:rPr>
        <w:t>6.1 La motivación deberá ser expresa, mediante una relación concreta y directa de los hechos probados relevantes del caso específico, y la exposición de las razones jurídicas y normativas que con referencia directa a los anteriores justifican el acto adoptado…”</w:t>
      </w:r>
    </w:p>
  </w:footnote>
  <w:footnote w:id="6">
    <w:p w:rsidR="00357612" w:rsidRPr="00D076D3" w:rsidRDefault="00357612" w:rsidP="00357612">
      <w:pPr>
        <w:pStyle w:val="Textonotapie"/>
        <w:rPr>
          <w:i/>
          <w:sz w:val="16"/>
          <w:szCs w:val="16"/>
        </w:rPr>
      </w:pPr>
      <w:r w:rsidRPr="007E6167">
        <w:rPr>
          <w:rStyle w:val="Refdenotaalpie"/>
          <w:rFonts w:cs="Tahoma"/>
          <w:i/>
          <w:sz w:val="16"/>
          <w:szCs w:val="16"/>
        </w:rPr>
        <w:footnoteRef/>
      </w:r>
      <w:r w:rsidRPr="007E6167">
        <w:rPr>
          <w:rFonts w:ascii="Tahoma" w:hAnsi="Tahoma" w:cs="Tahoma"/>
          <w:i/>
          <w:sz w:val="16"/>
          <w:szCs w:val="16"/>
        </w:rPr>
        <w:t xml:space="preserve"> </w:t>
      </w:r>
      <w:r w:rsidRPr="00D076D3">
        <w:rPr>
          <w:bCs/>
          <w:i/>
          <w:sz w:val="16"/>
          <w:szCs w:val="16"/>
          <w:lang w:val="es-MX"/>
        </w:rPr>
        <w:t>EXP. N.º 0091-2005-PA/TC</w:t>
      </w:r>
    </w:p>
  </w:footnote>
  <w:footnote w:id="7">
    <w:p w:rsidR="00357612" w:rsidRDefault="00357612" w:rsidP="00357612">
      <w:pPr>
        <w:pStyle w:val="Textonotapie"/>
      </w:pPr>
      <w:r>
        <w:rPr>
          <w:rStyle w:val="Refdenotaalpie"/>
        </w:rPr>
        <w:footnoteRef/>
      </w:r>
      <w:r>
        <w:t xml:space="preserve"> Dicha carta obra a fojas 061 y 151del expediente. </w:t>
      </w:r>
    </w:p>
  </w:footnote>
  <w:footnote w:id="8">
    <w:p w:rsidR="00357612" w:rsidRDefault="00357612" w:rsidP="00357612">
      <w:pPr>
        <w:pStyle w:val="Textonotapie"/>
      </w:pPr>
      <w:r>
        <w:rPr>
          <w:rStyle w:val="Refdenotaalpie"/>
        </w:rPr>
        <w:footnoteRef/>
      </w:r>
      <w:r>
        <w:t xml:space="preserve"> Dromi, Roberto.  “Licitación Pública”. Editorial Ciudad Argentina (Segunda Edición) – Gaceta Jurídica S.A. (Primera Edición) Pág. 50</w:t>
      </w:r>
    </w:p>
  </w:footnote>
  <w:footnote w:id="9">
    <w:p w:rsidR="00357612" w:rsidRPr="00016E2F" w:rsidRDefault="00357612" w:rsidP="00357612">
      <w:pPr>
        <w:autoSpaceDE w:val="0"/>
        <w:autoSpaceDN w:val="0"/>
        <w:adjustRightInd w:val="0"/>
        <w:jc w:val="both"/>
        <w:rPr>
          <w:b/>
          <w:bCs/>
          <w:sz w:val="16"/>
          <w:szCs w:val="16"/>
        </w:rPr>
      </w:pPr>
      <w:r w:rsidRPr="00016E2F">
        <w:rPr>
          <w:rStyle w:val="Refdenotaalpie"/>
          <w:sz w:val="16"/>
          <w:szCs w:val="16"/>
        </w:rPr>
        <w:footnoteRef/>
      </w:r>
      <w:r w:rsidRPr="00016E2F">
        <w:rPr>
          <w:sz w:val="16"/>
          <w:szCs w:val="16"/>
        </w:rPr>
        <w:t xml:space="preserve"> </w:t>
      </w:r>
      <w:r w:rsidRPr="00016E2F">
        <w:rPr>
          <w:b/>
          <w:bCs/>
          <w:sz w:val="16"/>
          <w:szCs w:val="16"/>
        </w:rPr>
        <w:t>Artículo 245.- Determinación gradual de la Sanción</w:t>
      </w:r>
    </w:p>
    <w:p w:rsidR="00357612" w:rsidRPr="00016E2F" w:rsidRDefault="00357612" w:rsidP="00357612">
      <w:pPr>
        <w:autoSpaceDE w:val="0"/>
        <w:autoSpaceDN w:val="0"/>
        <w:adjustRightInd w:val="0"/>
        <w:jc w:val="both"/>
        <w:rPr>
          <w:sz w:val="16"/>
          <w:szCs w:val="16"/>
        </w:rPr>
      </w:pPr>
      <w:r w:rsidRPr="00016E2F">
        <w:rPr>
          <w:sz w:val="16"/>
          <w:szCs w:val="16"/>
        </w:rPr>
        <w:t>Para graduar la sanción a imponerse conforme a las disposiciones del presente Título, se considerarán los siguientes criterios:</w:t>
      </w:r>
    </w:p>
    <w:p w:rsidR="00357612" w:rsidRPr="00016E2F" w:rsidRDefault="00357612" w:rsidP="00357612">
      <w:pPr>
        <w:autoSpaceDE w:val="0"/>
        <w:autoSpaceDN w:val="0"/>
        <w:adjustRightInd w:val="0"/>
        <w:jc w:val="both"/>
        <w:rPr>
          <w:sz w:val="16"/>
          <w:szCs w:val="16"/>
        </w:rPr>
      </w:pPr>
      <w:r w:rsidRPr="00016E2F">
        <w:rPr>
          <w:sz w:val="16"/>
          <w:szCs w:val="16"/>
        </w:rPr>
        <w:t>1) Naturaleza de la infracción.</w:t>
      </w:r>
    </w:p>
    <w:p w:rsidR="00357612" w:rsidRPr="00016E2F" w:rsidRDefault="00357612" w:rsidP="00357612">
      <w:pPr>
        <w:autoSpaceDE w:val="0"/>
        <w:autoSpaceDN w:val="0"/>
        <w:adjustRightInd w:val="0"/>
        <w:jc w:val="both"/>
        <w:rPr>
          <w:sz w:val="16"/>
          <w:szCs w:val="16"/>
        </w:rPr>
      </w:pPr>
      <w:r w:rsidRPr="00016E2F">
        <w:rPr>
          <w:sz w:val="16"/>
          <w:szCs w:val="16"/>
        </w:rPr>
        <w:t>2) Intencionalidad del infractor.</w:t>
      </w:r>
    </w:p>
    <w:p w:rsidR="00357612" w:rsidRPr="00016E2F" w:rsidRDefault="00357612" w:rsidP="00357612">
      <w:pPr>
        <w:autoSpaceDE w:val="0"/>
        <w:autoSpaceDN w:val="0"/>
        <w:adjustRightInd w:val="0"/>
        <w:jc w:val="both"/>
        <w:rPr>
          <w:sz w:val="16"/>
          <w:szCs w:val="16"/>
        </w:rPr>
      </w:pPr>
      <w:r w:rsidRPr="00016E2F">
        <w:rPr>
          <w:sz w:val="16"/>
          <w:szCs w:val="16"/>
        </w:rPr>
        <w:t>3) Daño causado.</w:t>
      </w:r>
    </w:p>
    <w:p w:rsidR="00357612" w:rsidRPr="00016E2F" w:rsidRDefault="00357612" w:rsidP="00357612">
      <w:pPr>
        <w:autoSpaceDE w:val="0"/>
        <w:autoSpaceDN w:val="0"/>
        <w:adjustRightInd w:val="0"/>
        <w:jc w:val="both"/>
        <w:rPr>
          <w:sz w:val="16"/>
          <w:szCs w:val="16"/>
        </w:rPr>
      </w:pPr>
      <w:r w:rsidRPr="00016E2F">
        <w:rPr>
          <w:sz w:val="16"/>
          <w:szCs w:val="16"/>
        </w:rPr>
        <w:t>4) Reiterancia.</w:t>
      </w:r>
    </w:p>
    <w:p w:rsidR="00357612" w:rsidRPr="00016E2F" w:rsidRDefault="00357612" w:rsidP="00357612">
      <w:pPr>
        <w:autoSpaceDE w:val="0"/>
        <w:autoSpaceDN w:val="0"/>
        <w:adjustRightInd w:val="0"/>
        <w:jc w:val="both"/>
        <w:rPr>
          <w:sz w:val="16"/>
          <w:szCs w:val="16"/>
        </w:rPr>
      </w:pPr>
      <w:r w:rsidRPr="00016E2F">
        <w:rPr>
          <w:sz w:val="16"/>
          <w:szCs w:val="16"/>
        </w:rPr>
        <w:t>5) El reconocimiento de la infracción cometida antes de que sea detectada.</w:t>
      </w:r>
    </w:p>
    <w:p w:rsidR="00357612" w:rsidRPr="00016E2F" w:rsidRDefault="00357612" w:rsidP="00357612">
      <w:pPr>
        <w:autoSpaceDE w:val="0"/>
        <w:autoSpaceDN w:val="0"/>
        <w:adjustRightInd w:val="0"/>
        <w:jc w:val="both"/>
        <w:rPr>
          <w:sz w:val="16"/>
          <w:szCs w:val="16"/>
        </w:rPr>
      </w:pPr>
      <w:r w:rsidRPr="00016E2F">
        <w:rPr>
          <w:sz w:val="16"/>
          <w:szCs w:val="16"/>
        </w:rPr>
        <w:t>6) Circunstancias de tiempo, lugar y modo.</w:t>
      </w:r>
    </w:p>
    <w:p w:rsidR="00357612" w:rsidRPr="00016E2F" w:rsidRDefault="00357612" w:rsidP="00357612">
      <w:pPr>
        <w:autoSpaceDE w:val="0"/>
        <w:autoSpaceDN w:val="0"/>
        <w:adjustRightInd w:val="0"/>
        <w:jc w:val="both"/>
        <w:rPr>
          <w:sz w:val="16"/>
          <w:szCs w:val="16"/>
        </w:rPr>
      </w:pPr>
      <w:r w:rsidRPr="00016E2F">
        <w:rPr>
          <w:sz w:val="16"/>
          <w:szCs w:val="16"/>
        </w:rPr>
        <w:t>7) Condiciones del infractor.</w:t>
      </w:r>
    </w:p>
    <w:p w:rsidR="00357612" w:rsidRPr="00016E2F" w:rsidRDefault="00357612" w:rsidP="00357612">
      <w:pPr>
        <w:autoSpaceDE w:val="0"/>
        <w:autoSpaceDN w:val="0"/>
        <w:adjustRightInd w:val="0"/>
        <w:jc w:val="both"/>
        <w:rPr>
          <w:sz w:val="16"/>
          <w:szCs w:val="16"/>
        </w:rPr>
      </w:pPr>
      <w:r w:rsidRPr="00016E2F">
        <w:rPr>
          <w:sz w:val="16"/>
          <w:szCs w:val="16"/>
        </w:rPr>
        <w:t>8) Conducta procesal del infractor.</w:t>
      </w:r>
    </w:p>
    <w:p w:rsidR="00357612" w:rsidRPr="00B374B2" w:rsidRDefault="00357612" w:rsidP="00357612">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A5F" w:rsidRDefault="00171A5F" w:rsidP="00171A5F">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71A5F" w:rsidRDefault="00171A5F" w:rsidP="00171A5F">
    <w:pPr>
      <w:pStyle w:val="Encabezado"/>
      <w:rPr>
        <w:noProof/>
      </w:rPr>
    </w:pPr>
  </w:p>
  <w:p w:rsidR="00171A5F" w:rsidRDefault="00171A5F" w:rsidP="00171A5F">
    <w:pPr>
      <w:pStyle w:val="Encabezado"/>
      <w:jc w:val="center"/>
      <w:rPr>
        <w:rFonts w:ascii="Monotype Corsiva" w:hAnsi="Monotype Corsiva"/>
        <w:b/>
        <w:sz w:val="44"/>
        <w:szCs w:val="44"/>
      </w:rPr>
    </w:pPr>
  </w:p>
  <w:p w:rsidR="00171A5F" w:rsidRDefault="00171A5F" w:rsidP="00171A5F">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1399-2011-TC-S1</w:t>
    </w:r>
  </w:p>
  <w:p w:rsidR="00171A5F" w:rsidRDefault="00171A5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5B7E7C72"/>
    <w:lvl w:ilvl="0" w:tplc="AF4A57C8">
      <w:start w:val="1"/>
      <w:numFmt w:val="decimal"/>
      <w:lvlText w:val="%1."/>
      <w:lvlJc w:val="left"/>
      <w:pPr>
        <w:ind w:left="720" w:hanging="360"/>
      </w:pPr>
      <w:rPr>
        <w:rFonts w:ascii="Tahoma" w:hAnsi="Tahoma" w:cs="Tahoma" w:hint="default"/>
        <w:b/>
        <w:i w:val="0"/>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20022FEA"/>
    <w:multiLevelType w:val="hybridMultilevel"/>
    <w:tmpl w:val="E294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E564EAD"/>
    <w:multiLevelType w:val="hybridMultilevel"/>
    <w:tmpl w:val="1142817E"/>
    <w:lvl w:ilvl="0" w:tplc="7FEAD98A">
      <w:start w:val="1"/>
      <w:numFmt w:val="upperLetter"/>
      <w:lvlText w:val="%1)"/>
      <w:lvlJc w:val="left"/>
      <w:pPr>
        <w:ind w:left="1002" w:hanging="435"/>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31F6AD4"/>
    <w:multiLevelType w:val="hybridMultilevel"/>
    <w:tmpl w:val="434E93F0"/>
    <w:lvl w:ilvl="0" w:tplc="FB76A4DA">
      <w:numFmt w:val="bullet"/>
      <w:lvlText w:val="-"/>
      <w:lvlJc w:val="left"/>
      <w:pPr>
        <w:tabs>
          <w:tab w:val="num" w:pos="1663"/>
        </w:tabs>
        <w:ind w:left="1456" w:hanging="360"/>
      </w:pPr>
      <w:rPr>
        <w:rFonts w:ascii="Times New Roman" w:eastAsia="Times New Roman" w:hAnsi="Times New Roman" w:cs="Times New Roman" w:hint="default"/>
      </w:rPr>
    </w:lvl>
    <w:lvl w:ilvl="1" w:tplc="0C0A0003" w:tentative="1">
      <w:start w:val="1"/>
      <w:numFmt w:val="bullet"/>
      <w:lvlText w:val="o"/>
      <w:lvlJc w:val="left"/>
      <w:pPr>
        <w:tabs>
          <w:tab w:val="num" w:pos="2536"/>
        </w:tabs>
        <w:ind w:left="2536" w:hanging="360"/>
      </w:pPr>
      <w:rPr>
        <w:rFonts w:ascii="Courier New" w:hAnsi="Courier New" w:cs="Courier New" w:hint="default"/>
      </w:rPr>
    </w:lvl>
    <w:lvl w:ilvl="2" w:tplc="0C0A0005" w:tentative="1">
      <w:start w:val="1"/>
      <w:numFmt w:val="bullet"/>
      <w:lvlText w:val=""/>
      <w:lvlJc w:val="left"/>
      <w:pPr>
        <w:tabs>
          <w:tab w:val="num" w:pos="3256"/>
        </w:tabs>
        <w:ind w:left="3256" w:hanging="360"/>
      </w:pPr>
      <w:rPr>
        <w:rFonts w:ascii="Wingdings" w:hAnsi="Wingdings" w:hint="default"/>
      </w:rPr>
    </w:lvl>
    <w:lvl w:ilvl="3" w:tplc="0C0A0001">
      <w:start w:val="1"/>
      <w:numFmt w:val="bullet"/>
      <w:lvlText w:val=""/>
      <w:lvlJc w:val="left"/>
      <w:pPr>
        <w:tabs>
          <w:tab w:val="num" w:pos="3976"/>
        </w:tabs>
        <w:ind w:left="3976" w:hanging="360"/>
      </w:pPr>
      <w:rPr>
        <w:rFonts w:ascii="Symbol" w:hAnsi="Symbol" w:hint="default"/>
      </w:rPr>
    </w:lvl>
    <w:lvl w:ilvl="4" w:tplc="0C0A0003" w:tentative="1">
      <w:start w:val="1"/>
      <w:numFmt w:val="bullet"/>
      <w:lvlText w:val="o"/>
      <w:lvlJc w:val="left"/>
      <w:pPr>
        <w:tabs>
          <w:tab w:val="num" w:pos="4696"/>
        </w:tabs>
        <w:ind w:left="4696" w:hanging="360"/>
      </w:pPr>
      <w:rPr>
        <w:rFonts w:ascii="Courier New" w:hAnsi="Courier New" w:cs="Courier New" w:hint="default"/>
      </w:rPr>
    </w:lvl>
    <w:lvl w:ilvl="5" w:tplc="0C0A0005" w:tentative="1">
      <w:start w:val="1"/>
      <w:numFmt w:val="bullet"/>
      <w:lvlText w:val=""/>
      <w:lvlJc w:val="left"/>
      <w:pPr>
        <w:tabs>
          <w:tab w:val="num" w:pos="5416"/>
        </w:tabs>
        <w:ind w:left="5416" w:hanging="360"/>
      </w:pPr>
      <w:rPr>
        <w:rFonts w:ascii="Wingdings" w:hAnsi="Wingdings" w:hint="default"/>
      </w:rPr>
    </w:lvl>
    <w:lvl w:ilvl="6" w:tplc="0C0A0001" w:tentative="1">
      <w:start w:val="1"/>
      <w:numFmt w:val="bullet"/>
      <w:lvlText w:val=""/>
      <w:lvlJc w:val="left"/>
      <w:pPr>
        <w:tabs>
          <w:tab w:val="num" w:pos="6136"/>
        </w:tabs>
        <w:ind w:left="6136" w:hanging="360"/>
      </w:pPr>
      <w:rPr>
        <w:rFonts w:ascii="Symbol" w:hAnsi="Symbol" w:hint="default"/>
      </w:rPr>
    </w:lvl>
    <w:lvl w:ilvl="7" w:tplc="0C0A0003" w:tentative="1">
      <w:start w:val="1"/>
      <w:numFmt w:val="bullet"/>
      <w:lvlText w:val="o"/>
      <w:lvlJc w:val="left"/>
      <w:pPr>
        <w:tabs>
          <w:tab w:val="num" w:pos="6856"/>
        </w:tabs>
        <w:ind w:left="6856" w:hanging="360"/>
      </w:pPr>
      <w:rPr>
        <w:rFonts w:ascii="Courier New" w:hAnsi="Courier New" w:cs="Courier New" w:hint="default"/>
      </w:rPr>
    </w:lvl>
    <w:lvl w:ilvl="8" w:tplc="0C0A0005" w:tentative="1">
      <w:start w:val="1"/>
      <w:numFmt w:val="bullet"/>
      <w:lvlText w:val=""/>
      <w:lvlJc w:val="left"/>
      <w:pPr>
        <w:tabs>
          <w:tab w:val="num" w:pos="7576"/>
        </w:tabs>
        <w:ind w:left="7576" w:hanging="360"/>
      </w:pPr>
      <w:rPr>
        <w:rFonts w:ascii="Wingdings" w:hAnsi="Wingdings" w:hint="default"/>
      </w:rPr>
    </w:lvl>
  </w:abstractNum>
  <w:abstractNum w:abstractNumId="4">
    <w:nsid w:val="3B7B237C"/>
    <w:multiLevelType w:val="hybridMultilevel"/>
    <w:tmpl w:val="39EA2C98"/>
    <w:lvl w:ilvl="0" w:tplc="BA7CDBC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5"/>
        </w:tabs>
        <w:ind w:left="2345"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4FBA5FA6"/>
    <w:multiLevelType w:val="hybridMultilevel"/>
    <w:tmpl w:val="483CA814"/>
    <w:lvl w:ilvl="0" w:tplc="B3426824">
      <w:start w:val="1"/>
      <w:numFmt w:val="decimal"/>
      <w:lvlText w:val="%1."/>
      <w:lvlJc w:val="left"/>
      <w:pPr>
        <w:ind w:left="720" w:hanging="360"/>
      </w:pPr>
      <w:rPr>
        <w:rFonts w:ascii="Tahoma" w:eastAsia="Calibri" w:hAnsi="Tahoma" w:cs="Tahoma"/>
        <w:b/>
        <w:i w:val="0"/>
      </w:rPr>
    </w:lvl>
    <w:lvl w:ilvl="1" w:tplc="A6440AC4">
      <w:start w:val="1"/>
      <w:numFmt w:val="lowerLetter"/>
      <w:lvlText w:val="%2)"/>
      <w:lvlJc w:val="left"/>
      <w:pPr>
        <w:ind w:left="1440" w:hanging="360"/>
      </w:pPr>
      <w:rPr>
        <w:rFonts w:hint="default"/>
      </w:rPr>
    </w:lvl>
    <w:lvl w:ilvl="2" w:tplc="A948A8C2">
      <w:start w:val="1"/>
      <w:numFmt w:val="decimal"/>
      <w:lvlText w:val="%3."/>
      <w:lvlJc w:val="left"/>
      <w:pPr>
        <w:ind w:left="322" w:hanging="180"/>
      </w:pPr>
      <w:rPr>
        <w:b/>
        <w:i w:val="0"/>
        <w:shadow w:val="0"/>
        <w:sz w:val="20"/>
        <w:szCs w:val="20"/>
      </w:rPr>
    </w:lvl>
    <w:lvl w:ilvl="3" w:tplc="A406FC88">
      <w:start w:val="3"/>
      <w:numFmt w:val="bullet"/>
      <w:lvlText w:val="-"/>
      <w:lvlJc w:val="left"/>
      <w:pPr>
        <w:ind w:left="2880" w:hanging="360"/>
      </w:pPr>
      <w:rPr>
        <w:rFonts w:ascii="Tahoma" w:eastAsia="Calibri" w:hAnsi="Tahoma" w:cs="Tahoma"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7">
    <w:nsid w:val="75FC1D71"/>
    <w:multiLevelType w:val="hybridMultilevel"/>
    <w:tmpl w:val="1142817E"/>
    <w:lvl w:ilvl="0" w:tplc="7FEAD98A">
      <w:start w:val="1"/>
      <w:numFmt w:val="upperLetter"/>
      <w:lvlText w:val="%1)"/>
      <w:lvlJc w:val="left"/>
      <w:pPr>
        <w:ind w:left="1002" w:hanging="435"/>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7FDA10B3"/>
    <w:multiLevelType w:val="hybridMultilevel"/>
    <w:tmpl w:val="CBD8A97C"/>
    <w:lvl w:ilvl="0" w:tplc="872293CC">
      <w:start w:val="1"/>
      <w:numFmt w:val="decimal"/>
      <w:lvlText w:val="%1."/>
      <w:lvlJc w:val="left"/>
      <w:pPr>
        <w:ind w:left="927" w:hanging="360"/>
      </w:pPr>
      <w:rPr>
        <w:rFonts w:hint="default"/>
        <w:b/>
        <w:shadow/>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3"/>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B13AF"/>
    <w:rsid w:val="00171A5F"/>
    <w:rsid w:val="00196655"/>
    <w:rsid w:val="001B13AF"/>
    <w:rsid w:val="00357612"/>
    <w:rsid w:val="00402C3B"/>
    <w:rsid w:val="00496AD0"/>
    <w:rsid w:val="006A63E7"/>
    <w:rsid w:val="00800804"/>
    <w:rsid w:val="008449AA"/>
    <w:rsid w:val="009B681E"/>
    <w:rsid w:val="00B1083F"/>
    <w:rsid w:val="00CC005F"/>
    <w:rsid w:val="00D36C15"/>
    <w:rsid w:val="00DB24C9"/>
    <w:rsid w:val="00DF23C5"/>
    <w:rsid w:val="00FC2FE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3A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B13AF"/>
    <w:pPr>
      <w:spacing w:after="120"/>
    </w:pPr>
    <w:rPr>
      <w:sz w:val="16"/>
      <w:szCs w:val="16"/>
      <w:lang w:val="es-PE"/>
    </w:rPr>
  </w:style>
  <w:style w:type="character" w:customStyle="1" w:styleId="Textoindependiente3Car">
    <w:name w:val="Texto independiente 3 Car"/>
    <w:basedOn w:val="Fuentedeprrafopredeter"/>
    <w:link w:val="Textoindependiente3"/>
    <w:rsid w:val="001B13A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B13AF"/>
    <w:pPr>
      <w:jc w:val="both"/>
    </w:pPr>
    <w:rPr>
      <w:rFonts w:ascii="Tahoma" w:hAnsi="Tahoma"/>
      <w:sz w:val="22"/>
      <w:szCs w:val="20"/>
    </w:rPr>
  </w:style>
  <w:style w:type="paragraph" w:styleId="Prrafodelista">
    <w:name w:val="List Paragraph"/>
    <w:basedOn w:val="Normal"/>
    <w:uiPriority w:val="34"/>
    <w:qFormat/>
    <w:rsid w:val="001B13AF"/>
    <w:pPr>
      <w:widowControl w:val="0"/>
      <w:suppressAutoHyphens/>
      <w:ind w:left="708"/>
    </w:pPr>
    <w:rPr>
      <w:szCs w:val="20"/>
      <w:lang w:val="es-ES_tradnl"/>
    </w:rPr>
  </w:style>
  <w:style w:type="paragraph" w:styleId="Piedepgina">
    <w:name w:val="footer"/>
    <w:basedOn w:val="Normal"/>
    <w:link w:val="PiedepginaCar"/>
    <w:uiPriority w:val="99"/>
    <w:unhideWhenUsed/>
    <w:rsid w:val="001B13AF"/>
    <w:pPr>
      <w:tabs>
        <w:tab w:val="center" w:pos="4252"/>
        <w:tab w:val="right" w:pos="8504"/>
      </w:tabs>
    </w:pPr>
  </w:style>
  <w:style w:type="character" w:customStyle="1" w:styleId="PiedepginaCar">
    <w:name w:val="Pie de página Car"/>
    <w:basedOn w:val="Fuentedeprrafopredeter"/>
    <w:link w:val="Piedepgina"/>
    <w:uiPriority w:val="99"/>
    <w:rsid w:val="001B13A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1B13AF"/>
    <w:pPr>
      <w:spacing w:after="120"/>
    </w:pPr>
  </w:style>
  <w:style w:type="character" w:customStyle="1" w:styleId="TextoindependienteCar">
    <w:name w:val="Texto independiente Car"/>
    <w:basedOn w:val="Fuentedeprrafopredeter"/>
    <w:link w:val="Textoindependiente"/>
    <w:uiPriority w:val="99"/>
    <w:rsid w:val="001B13AF"/>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1B13AF"/>
    <w:rPr>
      <w:b/>
      <w:bCs/>
    </w:rPr>
  </w:style>
  <w:style w:type="paragraph" w:styleId="Textonotaalfinal">
    <w:name w:val="endnote text"/>
    <w:basedOn w:val="Normal"/>
    <w:link w:val="TextonotaalfinalCar"/>
    <w:uiPriority w:val="99"/>
    <w:semiHidden/>
    <w:unhideWhenUsed/>
    <w:rsid w:val="001B13AF"/>
    <w:rPr>
      <w:sz w:val="20"/>
      <w:szCs w:val="20"/>
    </w:rPr>
  </w:style>
  <w:style w:type="character" w:customStyle="1" w:styleId="TextonotaalfinalCar">
    <w:name w:val="Texto nota al final Car"/>
    <w:basedOn w:val="Fuentedeprrafopredeter"/>
    <w:link w:val="Textonotaalfinal"/>
    <w:uiPriority w:val="99"/>
    <w:semiHidden/>
    <w:rsid w:val="001B13AF"/>
    <w:rPr>
      <w:rFonts w:ascii="Times New Roman" w:eastAsia="Times New Roman" w:hAnsi="Times New Roman" w:cs="Times New Roman"/>
      <w:sz w:val="20"/>
      <w:szCs w:val="20"/>
      <w:lang w:eastAsia="es-ES"/>
    </w:rPr>
  </w:style>
  <w:style w:type="paragraph" w:styleId="Textonotapie">
    <w:name w:val="footnote text"/>
    <w:aliases w:val="Car Car Car,Car Car,Car,Car4, Car, Car4, Car1 Car Car,Car1 Car Car,Texto nota pie1,Texto independiente1,Body Text,Car2 Car Car Car Car Car,Car2 Car,Car2,Car1 Car, Car2 Car Car Car Car Car, Car2 Car, Car2, Car1 Car, Car2 Car Car"/>
    <w:basedOn w:val="Normal"/>
    <w:link w:val="TextonotapieCar"/>
    <w:unhideWhenUsed/>
    <w:rsid w:val="001B13AF"/>
    <w:rPr>
      <w:sz w:val="20"/>
      <w:szCs w:val="20"/>
    </w:rPr>
  </w:style>
  <w:style w:type="character" w:customStyle="1" w:styleId="TextonotapieCar">
    <w:name w:val="Texto nota pie Car"/>
    <w:aliases w:val="Car Car Car Car,Car Car Car1,Car Car1,Car4 Car, Car Car, Car4 Car, Car1 Car Car Car,Car1 Car Car Car,Texto nota pie1 Car,Texto independiente1 Car,Body Text Car,Car2 Car Car Car Car Car Car,Car2 Car Car,Car2 Car1,Car1 Car Car1"/>
    <w:basedOn w:val="Fuentedeprrafopredeter"/>
    <w:link w:val="Textonotapie"/>
    <w:rsid w:val="001B13AF"/>
    <w:rPr>
      <w:rFonts w:ascii="Times New Roman" w:eastAsia="Times New Roman" w:hAnsi="Times New Roman" w:cs="Times New Roman"/>
      <w:sz w:val="20"/>
      <w:szCs w:val="20"/>
      <w:lang w:eastAsia="es-ES"/>
    </w:rPr>
  </w:style>
  <w:style w:type="character" w:styleId="Refdenotaalpie">
    <w:name w:val="footnote reference"/>
    <w:basedOn w:val="Fuentedeprrafopredeter"/>
    <w:unhideWhenUsed/>
    <w:rsid w:val="001B13AF"/>
    <w:rPr>
      <w:vertAlign w:val="superscript"/>
    </w:rPr>
  </w:style>
  <w:style w:type="table" w:styleId="Tablaconcuadrcula">
    <w:name w:val="Table Grid"/>
    <w:basedOn w:val="Tablanormal"/>
    <w:uiPriority w:val="59"/>
    <w:rsid w:val="001B13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171A5F"/>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71A5F"/>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76988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13</Pages>
  <Words>5659</Words>
  <Characters>31126</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7</cp:revision>
  <cp:lastPrinted>2011-08-22T15:21:00Z</cp:lastPrinted>
  <dcterms:created xsi:type="dcterms:W3CDTF">2011-08-22T14:29:00Z</dcterms:created>
  <dcterms:modified xsi:type="dcterms:W3CDTF">2011-09-09T22:02:00Z</dcterms:modified>
</cp:coreProperties>
</file>